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CBB" w:rsidRPr="002C7136" w:rsidRDefault="00853E45" w:rsidP="002C7136">
      <w:pPr>
        <w:jc w:val="right"/>
        <w:rPr>
          <w:rFonts w:ascii="Times New Roman" w:hAnsi="Times New Roman" w:cs="Times New Roman"/>
          <w:b/>
        </w:rPr>
      </w:pPr>
      <w:r w:rsidRPr="002C7136">
        <w:rPr>
          <w:rFonts w:ascii="Times New Roman" w:hAnsi="Times New Roman" w:cs="Times New Roman"/>
          <w:b/>
        </w:rPr>
        <w:t>Załącznik</w:t>
      </w:r>
      <w:r w:rsidR="00D66367">
        <w:rPr>
          <w:rFonts w:ascii="Times New Roman" w:hAnsi="Times New Roman" w:cs="Times New Roman"/>
          <w:b/>
        </w:rPr>
        <w:t xml:space="preserve"> nr</w:t>
      </w:r>
      <w:r w:rsidR="00BB320E">
        <w:rPr>
          <w:rFonts w:ascii="Times New Roman" w:hAnsi="Times New Roman" w:cs="Times New Roman"/>
          <w:b/>
        </w:rPr>
        <w:t xml:space="preserve"> 12</w:t>
      </w:r>
      <w:r w:rsidRPr="002C7136">
        <w:rPr>
          <w:rFonts w:ascii="Times New Roman" w:hAnsi="Times New Roman" w:cs="Times New Roman"/>
          <w:b/>
        </w:rPr>
        <w:t>.1</w:t>
      </w:r>
      <w:r w:rsidR="00D66367">
        <w:rPr>
          <w:rFonts w:ascii="Times New Roman" w:hAnsi="Times New Roman" w:cs="Times New Roman"/>
          <w:b/>
        </w:rPr>
        <w:t>.</w:t>
      </w:r>
    </w:p>
    <w:p w:rsidR="00E06B3A" w:rsidRPr="002C7136" w:rsidRDefault="00E06B3A" w:rsidP="00E06B3A">
      <w:pPr>
        <w:spacing w:line="276" w:lineRule="auto"/>
        <w:jc w:val="both"/>
        <w:rPr>
          <w:rFonts w:ascii="Times New Roman" w:hAnsi="Times New Roman" w:cs="Times New Roman"/>
        </w:rPr>
      </w:pPr>
      <w:r w:rsidRPr="002C7136">
        <w:rPr>
          <w:rFonts w:ascii="Times New Roman" w:hAnsi="Times New Roman" w:cs="Times New Roman"/>
          <w:b/>
          <w:bCs/>
        </w:rPr>
        <w:t>Działanie 1</w:t>
      </w:r>
      <w:r w:rsidRPr="002C7136">
        <w:rPr>
          <w:rFonts w:ascii="Times New Roman" w:hAnsi="Times New Roman" w:cs="Times New Roman"/>
        </w:rPr>
        <w:t xml:space="preserve"> - Zakup wyposażenia Bloku Operacyjnego i Oddziału Anestezjologii  i Intensywnej Terapii w SPZZOZ w Żurominie, w tym: aparatów do znieczuleń, łóżek specjalistycznych wraz z materacami i wieszakami do podawania kroplówki oraz narzędzi laparoskopowych, które stanowią integralną całość posiadanego sprzętu na bloku operacyjnym i stanowić będą jego uzupełnienie.</w:t>
      </w:r>
    </w:p>
    <w:p w:rsidR="00E06B3A" w:rsidRPr="002C7136" w:rsidRDefault="00E06B3A" w:rsidP="00E06B3A">
      <w:pPr>
        <w:spacing w:line="276" w:lineRule="auto"/>
        <w:jc w:val="both"/>
        <w:rPr>
          <w:rFonts w:ascii="Times New Roman" w:hAnsi="Times New Roman" w:cs="Times New Roman"/>
        </w:rPr>
      </w:pPr>
    </w:p>
    <w:p w:rsidR="00B50B10" w:rsidRPr="002C7136" w:rsidRDefault="007321FE" w:rsidP="00E06B3A">
      <w:pPr>
        <w:jc w:val="center"/>
        <w:rPr>
          <w:rFonts w:ascii="Times New Roman" w:hAnsi="Times New Roman" w:cs="Times New Roman"/>
          <w:b/>
        </w:rPr>
      </w:pPr>
      <w:r w:rsidRPr="002C7136">
        <w:rPr>
          <w:rFonts w:ascii="Times New Roman" w:hAnsi="Times New Roman" w:cs="Times New Roman"/>
          <w:b/>
        </w:rPr>
        <w:t>OPIS PRZEDMIOTU ZAMÓWIENIA</w:t>
      </w:r>
    </w:p>
    <w:p w:rsidR="00E06B3A" w:rsidRPr="002C7136" w:rsidRDefault="00E06B3A" w:rsidP="00E06B3A">
      <w:pPr>
        <w:rPr>
          <w:rFonts w:ascii="Times New Roman" w:hAnsi="Times New Roman" w:cs="Times New Roman"/>
          <w:b/>
          <w:sz w:val="28"/>
          <w:szCs w:val="28"/>
        </w:rPr>
      </w:pPr>
      <w:r w:rsidRPr="002C7136">
        <w:rPr>
          <w:rFonts w:ascii="Times New Roman" w:hAnsi="Times New Roman" w:cs="Times New Roman"/>
          <w:b/>
          <w:sz w:val="28"/>
          <w:szCs w:val="28"/>
        </w:rPr>
        <w:t>Aparat do znieczulania szt.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6157"/>
        <w:gridCol w:w="2553"/>
        <w:gridCol w:w="4643"/>
      </w:tblGrid>
      <w:tr w:rsidR="00666767" w:rsidRPr="002C7136" w:rsidTr="002F6220">
        <w:trPr>
          <w:trHeight w:val="306"/>
        </w:trPr>
        <w:tc>
          <w:tcPr>
            <w:tcW w:w="229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Opis/ Parametr wymagany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Parametry wymagane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Parametry oferowane/ podać zakres lub opisać</w:t>
            </w:r>
          </w:p>
        </w:tc>
      </w:tr>
      <w:tr w:rsidR="00666767" w:rsidRPr="002C7136" w:rsidTr="002F6220">
        <w:trPr>
          <w:trHeight w:val="306"/>
        </w:trPr>
        <w:tc>
          <w:tcPr>
            <w:tcW w:w="229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666767" w:rsidRPr="00361B25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Rok produkcji min. 2025 (produkt</w:t>
            </w:r>
            <w:r w:rsidRPr="00361B25">
              <w:rPr>
                <w:rFonts w:ascii="Times New Roman" w:hAnsi="Times New Roman" w:cs="Times New Roman"/>
                <w:bCs/>
              </w:rPr>
              <w:t xml:space="preserve"> fabrycznie nowy, </w:t>
            </w:r>
            <w:proofErr w:type="spellStart"/>
            <w:r w:rsidRPr="00361B25">
              <w:rPr>
                <w:rFonts w:ascii="Times New Roman" w:hAnsi="Times New Roman" w:cs="Times New Roman"/>
                <w:bCs/>
              </w:rPr>
              <w:t>nierekondycjonowany</w:t>
            </w:r>
            <w:proofErr w:type="spellEnd"/>
            <w:r w:rsidRPr="00361B25">
              <w:rPr>
                <w:rFonts w:ascii="Times New Roman" w:hAnsi="Times New Roman" w:cs="Times New Roman"/>
                <w:bCs/>
              </w:rPr>
              <w:t>, nie powystawowy)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429" w:type="pct"/>
            <w:gridSpan w:val="2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  <w:bCs/>
                <w:color w:val="000000"/>
              </w:rPr>
              <w:t>Dane sprzętu medycznego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00" w:type="pct"/>
            <w:shd w:val="clear" w:color="auto" w:fill="auto"/>
          </w:tcPr>
          <w:p w:rsidR="00666767" w:rsidRPr="00361B25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361B25">
              <w:rPr>
                <w:rFonts w:ascii="Times New Roman" w:hAnsi="Times New Roman" w:cs="Times New Roman"/>
                <w:bCs/>
              </w:rPr>
              <w:t>Parametry ogólne</w:t>
            </w:r>
          </w:p>
        </w:tc>
        <w:tc>
          <w:tcPr>
            <w:tcW w:w="912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00" w:type="pct"/>
            <w:shd w:val="clear" w:color="auto" w:fill="auto"/>
          </w:tcPr>
          <w:p w:rsidR="00666767" w:rsidRPr="00361B25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361B25">
              <w:rPr>
                <w:rFonts w:ascii="Times New Roman" w:hAnsi="Times New Roman" w:cs="Times New Roman"/>
              </w:rPr>
              <w:t>Aparat na podstawie jezdnej, indywidualne hamulce na wszystkich kołach</w:t>
            </w:r>
          </w:p>
        </w:tc>
        <w:tc>
          <w:tcPr>
            <w:tcW w:w="912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rPr>
          <w:trHeight w:val="306"/>
        </w:trPr>
        <w:tc>
          <w:tcPr>
            <w:tcW w:w="229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200" w:type="pct"/>
            <w:shd w:val="clear" w:color="auto" w:fill="auto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Fabryczne uchwyty na dwie 10 litrowe butle rezerwowe, reduktory do butli O</w:t>
            </w:r>
            <w:r w:rsidRPr="00361B25">
              <w:rPr>
                <w:rFonts w:ascii="Times New Roman" w:hAnsi="Times New Roman" w:cs="Times New Roman"/>
                <w:vertAlign w:val="subscript"/>
              </w:rPr>
              <w:t>2</w:t>
            </w:r>
            <w:r w:rsidRPr="00361B25">
              <w:rPr>
                <w:rFonts w:ascii="Times New Roman" w:hAnsi="Times New Roman" w:cs="Times New Roman"/>
              </w:rPr>
              <w:t xml:space="preserve"> i N</w:t>
            </w:r>
            <w:r w:rsidRPr="00361B25">
              <w:rPr>
                <w:rFonts w:ascii="Times New Roman" w:hAnsi="Times New Roman" w:cs="Times New Roman"/>
                <w:vertAlign w:val="subscript"/>
              </w:rPr>
              <w:t>2</w:t>
            </w:r>
            <w:r w:rsidRPr="00361B25">
              <w:rPr>
                <w:rFonts w:ascii="Times New Roman" w:hAnsi="Times New Roman" w:cs="Times New Roman"/>
              </w:rPr>
              <w:t>O niewbudowane</w:t>
            </w:r>
          </w:p>
        </w:tc>
        <w:tc>
          <w:tcPr>
            <w:tcW w:w="912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00" w:type="pct"/>
            <w:shd w:val="clear" w:color="auto" w:fill="auto"/>
          </w:tcPr>
          <w:p w:rsidR="00666767" w:rsidRPr="00361B25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361B25">
              <w:rPr>
                <w:rFonts w:ascii="Times New Roman" w:hAnsi="Times New Roman" w:cs="Times New Roman"/>
              </w:rPr>
              <w:t>Aparat przystosowany do pracy przy ciśnieniu sieci centralnej dla: O</w:t>
            </w:r>
            <w:r w:rsidRPr="00361B25">
              <w:rPr>
                <w:rFonts w:ascii="Times New Roman" w:hAnsi="Times New Roman" w:cs="Times New Roman"/>
                <w:vertAlign w:val="subscript"/>
              </w:rPr>
              <w:t>2</w:t>
            </w:r>
            <w:r w:rsidRPr="00361B25">
              <w:rPr>
                <w:rFonts w:ascii="Times New Roman" w:hAnsi="Times New Roman" w:cs="Times New Roman"/>
              </w:rPr>
              <w:t>, N</w:t>
            </w:r>
            <w:r w:rsidRPr="00361B25">
              <w:rPr>
                <w:rFonts w:ascii="Times New Roman" w:hAnsi="Times New Roman" w:cs="Times New Roman"/>
                <w:vertAlign w:val="subscript"/>
              </w:rPr>
              <w:t>2</w:t>
            </w:r>
            <w:r w:rsidRPr="00361B25">
              <w:rPr>
                <w:rFonts w:ascii="Times New Roman" w:hAnsi="Times New Roman" w:cs="Times New Roman"/>
              </w:rPr>
              <w:t xml:space="preserve">O, Powietrza od 2,7 </w:t>
            </w:r>
            <w:proofErr w:type="spellStart"/>
            <w:r w:rsidRPr="00361B25">
              <w:rPr>
                <w:rFonts w:ascii="Times New Roman" w:hAnsi="Times New Roman" w:cs="Times New Roman"/>
              </w:rPr>
              <w:t>kPa</w:t>
            </w:r>
            <w:proofErr w:type="spellEnd"/>
            <w:r w:rsidRPr="00361B25">
              <w:rPr>
                <w:rFonts w:ascii="Times New Roman" w:hAnsi="Times New Roman" w:cs="Times New Roman"/>
              </w:rPr>
              <w:t xml:space="preserve"> x 100</w:t>
            </w:r>
          </w:p>
        </w:tc>
        <w:tc>
          <w:tcPr>
            <w:tcW w:w="912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00" w:type="pct"/>
            <w:shd w:val="clear" w:color="auto" w:fill="auto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Podgrzewany system oddechowy, możliwe wyłączenie / włączenie podgrzewania przez użytkownika w czasie znieczulania</w:t>
            </w:r>
          </w:p>
        </w:tc>
        <w:tc>
          <w:tcPr>
            <w:tcW w:w="912" w:type="pct"/>
            <w:shd w:val="clear" w:color="auto" w:fill="auto"/>
          </w:tcPr>
          <w:p w:rsidR="00666767" w:rsidRPr="00361B25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361B2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361B25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Awaryjne zasilanie elektryczne całego systemu z wbudowanego akumulatora na co najmniej 45 minut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Wbudowane, regulowane - co najmniej trzystopniowe, oświetlenie powierzchni roboczej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Jedna duża szuflada na akcesoria, blokowana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Prezentacja ciśnień gazów w sieci centralnej i w butlach rezerwowych na ekranie głównym respiratora lub na ekranie LCD monitora stanu aparatu do znieczulania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System bezpieczeństwa zapewniający co najmniej 25% udział 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 xml:space="preserve"> w mieszaninie z N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highlight w:val="yellow"/>
              </w:rPr>
            </w:pPr>
            <w:r w:rsidRPr="002C7136">
              <w:rPr>
                <w:rFonts w:ascii="Times New Roman" w:hAnsi="Times New Roman" w:cs="Times New Roman"/>
              </w:rPr>
              <w:t>Elektroniczny mieszalnik: zapewniający utrzymanie ustawionego wdechowego stężenia tlenu przy zmianie wielkości przepływu świeżych gazów i utrzymanie ustawionego przepływu świeżych gazów przy zmianie stężenia tlenu w mieszaninie podawanej do pacjenta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Aparat z czujnikami przepływu wdechowym i wydechowym. Czujniki wykorzystujące do pomiaru zasadę termoanemometrii elektrycznej. Czujniki mogą być sterylizowane parowo 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Wirtualne przepływomierze i liczbowe wartości przepływów gazów prezentowane na ekranie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Aparat przystosowany do prowadzenia znieczulania w technice </w:t>
            </w:r>
            <w:proofErr w:type="spellStart"/>
            <w:r w:rsidRPr="002C7136">
              <w:rPr>
                <w:rFonts w:ascii="Times New Roman" w:hAnsi="Times New Roman" w:cs="Times New Roman"/>
              </w:rPr>
              <w:t>Low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</w:rPr>
              <w:t>Flow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2C7136">
              <w:rPr>
                <w:rFonts w:ascii="Times New Roman" w:hAnsi="Times New Roman" w:cs="Times New Roman"/>
              </w:rPr>
              <w:t>Minimal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</w:rPr>
              <w:t>Flow</w:t>
            </w:r>
            <w:proofErr w:type="spellEnd"/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Regulowany zawór ograniczający ciśnienie w trybie wentylacji ręcznej (APL) z funkcją natychmiastowego zwolnienia ciśnienia w układzie bez konieczności skręcania do minimum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Wbudowany przepływomierz 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 xml:space="preserve"> do niezależnej podaży tlenu przez maskę lub kaniulę donosową, regulacja przepływu co najmniej od 0 l/min do 15 l/min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lang w:val="sv-SE"/>
              </w:rPr>
            </w:pPr>
            <w:r w:rsidRPr="002C7136">
              <w:rPr>
                <w:rFonts w:ascii="Times New Roman" w:hAnsi="Times New Roman" w:cs="Times New Roman"/>
                <w:lang w:val="sv-SE"/>
              </w:rPr>
              <w:t>TAK</w:t>
            </w:r>
            <w:r w:rsidRPr="002C7136">
              <w:rPr>
                <w:rFonts w:ascii="Times New Roman" w:hAnsi="Times New Roman" w:cs="Times New Roman"/>
                <w:lang w:val="sv-SE"/>
              </w:rPr>
              <w:br/>
            </w:r>
            <w:r w:rsidRPr="002C7136">
              <w:rPr>
                <w:rFonts w:ascii="Times New Roman" w:hAnsi="Times New Roman" w:cs="Times New Roman"/>
                <w:lang w:val="sv-SE"/>
              </w:rPr>
              <w:br/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lang w:val="sv-SE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lang w:val="sv-SE"/>
              </w:rPr>
            </w:pPr>
            <w:r w:rsidRPr="002C713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Złącza do podłączenia jednego lub dwóch parowników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lang w:val="sv-SE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Respirator, tryby wentylacji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Respirator z napędem elektrycznym lub respirator z napędem pneumatycznym nie zużywający tlenu do napędu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  <w:r w:rsidRPr="002C7136">
              <w:rPr>
                <w:rFonts w:ascii="Times New Roman" w:hAnsi="Times New Roman" w:cs="Times New Roman"/>
              </w:rPr>
              <w:br/>
            </w:r>
            <w:r w:rsidRPr="002C713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Wentylacja kontrolowana objętościowo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Wentylacja kontrolowana ciśnieniowo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Wentylacja synchronizowana ze wspomaganiem ciśnieniowym oddechów spontanicznych w trybie kontrolowanym objętościowo i w trybie kontrolowanym ciśnieniowo (VCV-SIMV/PS, PCV-SIMV/PS)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CPAP/PSV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Pauzy (wstrzymanie pracy respiratora na czas odłączenia pacjenta - odessanie śluzu lub zmiana pozycji pacjenta na stole), czas trwania pauzy regulowany w zakresie do minimum 2 minut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lang w:val="sv-SE"/>
              </w:rPr>
            </w:pPr>
            <w:r w:rsidRPr="002C7136">
              <w:rPr>
                <w:rFonts w:ascii="Times New Roman" w:hAnsi="Times New Roman" w:cs="Times New Roman"/>
                <w:lang w:val="sv-SE"/>
              </w:rPr>
              <w:t>TAK</w:t>
            </w:r>
            <w:r w:rsidRPr="002C7136">
              <w:rPr>
                <w:rFonts w:ascii="Times New Roman" w:hAnsi="Times New Roman" w:cs="Times New Roman"/>
                <w:lang w:val="sv-SE"/>
              </w:rPr>
              <w:br/>
            </w:r>
            <w:r w:rsidRPr="002C7136">
              <w:rPr>
                <w:rFonts w:ascii="Times New Roman" w:hAnsi="Times New Roman" w:cs="Times New Roman"/>
                <w:lang w:val="sv-SE"/>
              </w:rPr>
              <w:br/>
              <w:t xml:space="preserve">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lang w:val="sv-SE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lang w:val="sv-SE"/>
              </w:rPr>
            </w:pPr>
            <w:r w:rsidRPr="002C713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Tryb monitorowania pacjenta oddychającego spontanicznie (np. przy znieczuleniu miejscowym, po </w:t>
            </w:r>
            <w:proofErr w:type="spellStart"/>
            <w:r w:rsidRPr="002C7136">
              <w:rPr>
                <w:rFonts w:ascii="Times New Roman" w:hAnsi="Times New Roman" w:cs="Times New Roman"/>
              </w:rPr>
              <w:t>ekstubacji</w:t>
            </w:r>
            <w:proofErr w:type="spellEnd"/>
            <w:r w:rsidRPr="002C7136">
              <w:rPr>
                <w:rFonts w:ascii="Times New Roman" w:hAnsi="Times New Roman" w:cs="Times New Roman"/>
              </w:rPr>
              <w:t>). Aktywny pomiar gazów, aktywne monitorowanie bezdechu.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Tryb typu: HLM, CBM, do stosowania, gdy pacjent podłączony jest do maszyny płucoserce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Ze względów bezpieczeństwa automatyczne przełączenie na gaz zastępczy:</w:t>
            </w:r>
            <w:r w:rsidRPr="002C7136">
              <w:rPr>
                <w:rFonts w:ascii="Times New Roman" w:hAnsi="Times New Roman" w:cs="Times New Roman"/>
              </w:rPr>
              <w:br/>
              <w:t>- po zaniku O2 na 100 % powietrze</w:t>
            </w:r>
            <w:r w:rsidRPr="002C7136">
              <w:rPr>
                <w:rFonts w:ascii="Times New Roman" w:hAnsi="Times New Roman" w:cs="Times New Roman"/>
              </w:rPr>
              <w:br/>
            </w:r>
            <w:r w:rsidRPr="002C7136">
              <w:rPr>
                <w:rFonts w:ascii="Times New Roman" w:hAnsi="Times New Roman" w:cs="Times New Roman"/>
              </w:rPr>
              <w:lastRenderedPageBreak/>
              <w:t>- po zaniku N2O na 100 % O2</w:t>
            </w:r>
            <w:r w:rsidRPr="002C7136">
              <w:rPr>
                <w:rFonts w:ascii="Times New Roman" w:hAnsi="Times New Roman" w:cs="Times New Roman"/>
              </w:rPr>
              <w:br/>
              <w:t>- po zaniku Powietrza na 100% O2</w:t>
            </w:r>
            <w:r w:rsidRPr="002C7136">
              <w:rPr>
                <w:rFonts w:ascii="Times New Roman" w:hAnsi="Times New Roman" w:cs="Times New Roman"/>
              </w:rPr>
              <w:br/>
              <w:t>we wszystkich przypadkach bieżący przepływ Świeżych Gazów pozostaje stały (nie zmienia się)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Możliwość rozbudowy o funkcje: rekrutacji jednoetapowej i rekrutacji wieloetapowej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Awaryjna podaż O2 i anestetyku z parownika po awarii zasilania sieciowego i rozładowanym akumulatorze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 xml:space="preserve">Regulacje 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Zakres regulacji częstości oddechowej co najmniej od 3 do 100 oddechów/min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Zakres regulacji plateau co najmniej od 5% do 60%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Zakres regulacji I:E co najmniej od 4:1 do 1:8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Zakres regulacji objętości oddechowej w trybie kontrolowanym objętościowo co najmniej od 10 ml do 1500 ml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Zakres regulacji czułości wyzwalacza co najmniej od 0,3 l/min do 15 l/min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Ciśnienie wdechowe regulowane w zakresie co najmniej od 10 </w:t>
            </w:r>
            <w:proofErr w:type="spellStart"/>
            <w:r w:rsidRPr="002C7136">
              <w:rPr>
                <w:rFonts w:ascii="Times New Roman" w:hAnsi="Times New Roman" w:cs="Times New Roman"/>
              </w:rPr>
              <w:t>hPa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do 80 </w:t>
            </w:r>
            <w:proofErr w:type="spellStart"/>
            <w:r w:rsidRPr="002C7136">
              <w:rPr>
                <w:rFonts w:ascii="Times New Roman" w:hAnsi="Times New Roman" w:cs="Times New Roman"/>
              </w:rPr>
              <w:t>hPa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(cmH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>O)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Regulacja czasu narastania ciśnienia - nachylenie (nie dotyczy czasu wdechu)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Regulacja PEEP w zakresie co najmniej od 2 </w:t>
            </w:r>
            <w:proofErr w:type="spellStart"/>
            <w:r w:rsidRPr="002C7136">
              <w:rPr>
                <w:rFonts w:ascii="Times New Roman" w:hAnsi="Times New Roman" w:cs="Times New Roman"/>
              </w:rPr>
              <w:t>hPa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do 35 </w:t>
            </w:r>
            <w:proofErr w:type="spellStart"/>
            <w:r w:rsidRPr="002C7136">
              <w:rPr>
                <w:rFonts w:ascii="Times New Roman" w:hAnsi="Times New Roman" w:cs="Times New Roman"/>
              </w:rPr>
              <w:t>hPa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(cmH2O); wymagana funkcja WYŁ (OFF)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Zmiana częstości oddechowej automatycznie zmienia czas wdechu (Ti) - tzw. blokada I:E, możliwe wyłączenie tej funkcjonalności przez użytkownika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Zmiana PEEP automatycznie zmienia ciśnienie </w:t>
            </w:r>
            <w:proofErr w:type="spellStart"/>
            <w:r w:rsidRPr="002C7136">
              <w:rPr>
                <w:rFonts w:ascii="Times New Roman" w:hAnsi="Times New Roman" w:cs="Times New Roman"/>
              </w:rPr>
              <w:t>Pwdech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(różnica pomiędzy PEEP i </w:t>
            </w:r>
            <w:proofErr w:type="spellStart"/>
            <w:r w:rsidRPr="002C7136">
              <w:rPr>
                <w:rFonts w:ascii="Times New Roman" w:hAnsi="Times New Roman" w:cs="Times New Roman"/>
              </w:rPr>
              <w:t>Pwdech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pozostaje stała) możliwe wyłączenie tej funkcjonalności przez użytkownika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Prezentacje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Prezentacja krzywych: p(t), CO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 xml:space="preserve">(t) 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Funkcja </w:t>
            </w:r>
            <w:proofErr w:type="spellStart"/>
            <w:r w:rsidRPr="002C7136">
              <w:rPr>
                <w:rFonts w:ascii="Times New Roman" w:hAnsi="Times New Roman" w:cs="Times New Roman"/>
              </w:rPr>
              <w:t>timera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(odliczanie do zera od ustawionego czasu) pomocna przy wykonywaniu czynności obwarowanych czasowo, prezentacja na ekranie respiratora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Prezentacja ΔVT (różnicy między objętością wdechową a wydechową)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stopera (odliczanie czasu od zera) pomocna przy kontroli czasu znieczulenia, kontroli czasu; prezentacja na ekranie respiratora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Funkcjonalność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 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Kolorowy ekran, o regulowanej jasności i przekątnej powyżej 15”, ustawianie parametrów za pomocą ekranu dotykowego i pokrętła funkcyjnego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Pola parametrów wyświetlane na ekranie mogą być konfigurowane w czasie pracy, możliwe szybkie dopasowanie rozmieszczenia lub zmiany wyświetlanych parametrów w czasie operacji w zależności od aktualnych wymagań użytkownika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Możliwe ustawienie różnych kolorów parametrów, dostępna paleta co najmniej 5 kolorów, w celu łatwiejszego odczytu 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Wyświetlanie ustawionych granic alarmowych w polach parametrów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Możliwe kontynuowanie wentylacji mechanicznej w przypadku, gdy pomiar przepływu ulegnie awarii (uszkodzony czujnik przepływu)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Konfiguracja urządzenia może być eksportowana i importowana do/z innych aparatów tej serii za pośrednictwem pamięci USB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Moduł pomiarów gazowych w aparacie. Pomiary i prezentacja: wdechowego i wydechowego stężenia: 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 xml:space="preserve"> (pomiar paramagnetyczny), N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>O, CO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>, anestetyków (</w:t>
            </w:r>
            <w:proofErr w:type="spellStart"/>
            <w:r w:rsidRPr="002C7136">
              <w:rPr>
                <w:rFonts w:ascii="Times New Roman" w:hAnsi="Times New Roman" w:cs="Times New Roman"/>
              </w:rPr>
              <w:t>sewofluran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7136">
              <w:rPr>
                <w:rFonts w:ascii="Times New Roman" w:hAnsi="Times New Roman" w:cs="Times New Roman"/>
              </w:rPr>
              <w:t>izofluran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7136">
              <w:rPr>
                <w:rFonts w:ascii="Times New Roman" w:hAnsi="Times New Roman" w:cs="Times New Roman"/>
              </w:rPr>
              <w:t>desfluran</w:t>
            </w:r>
            <w:proofErr w:type="spellEnd"/>
            <w:r w:rsidRPr="002C7136">
              <w:rPr>
                <w:rFonts w:ascii="Times New Roman" w:hAnsi="Times New Roman" w:cs="Times New Roman"/>
              </w:rPr>
              <w:t>), Automatyczna identyfikacja anestetyków wziewnych. Pomiar w strumieniu bocznym, powrót próbki gazowej do systemu oddechowego.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Wykrywanie i wskazywanie mieszanin gazów znieczulających, wyświetlanie wartości </w:t>
            </w:r>
            <w:proofErr w:type="spellStart"/>
            <w:r w:rsidRPr="002C7136">
              <w:rPr>
                <w:rFonts w:ascii="Times New Roman" w:hAnsi="Times New Roman" w:cs="Times New Roman"/>
              </w:rPr>
              <w:t>xMAC</w:t>
            </w:r>
            <w:proofErr w:type="spellEnd"/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Eksport do pamięci zewnętrznej USB: widoku ekranu (np. widoku ekranu z wynikami testu, gdy zachodzi potrzeba archiwizacji)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Alarmy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 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Funkcja Auto ustawienia alarmów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Alarm ciśnienia w drogach oddechowych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Alarm objętości minutowej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Alarm bezdechu generowany na podstawie analizy przepływu, ciśnienia, CO2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Alarm stężenia anestetyku wziewnego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Alarm braku zasilania w O2, Powietrze, N2O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Alarm wykrycia drugiego anestetyku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Alarm Niski </w:t>
            </w:r>
            <w:proofErr w:type="spellStart"/>
            <w:r w:rsidRPr="002C7136">
              <w:rPr>
                <w:rFonts w:ascii="Times New Roman" w:hAnsi="Times New Roman" w:cs="Times New Roman"/>
              </w:rPr>
              <w:t>xMAC</w:t>
            </w:r>
            <w:proofErr w:type="spellEnd"/>
            <w:r w:rsidRPr="002C71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 xml:space="preserve">Instrukcja obsługi i użytkowania w języku polskim, wersja drukowana, książkowa – nie dopuszcza się </w:t>
            </w:r>
            <w:proofErr w:type="spellStart"/>
            <w:r w:rsidRPr="002C7136">
              <w:rPr>
                <w:rFonts w:ascii="Times New Roman" w:hAnsi="Times New Roman" w:cs="Times New Roman"/>
              </w:rPr>
              <w:t>zabindowanych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kserokopii 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Oprogramowanie w języku polskim.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Prezentowana na ekranie data następnego przeglądu serwisowego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Ssak do odsysania, inżektorowy. Wielorazowy zbiornik na wydzieliny o objętości minimum 700 ml, sterylizacja w autoklawie w temp. do 134 °C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Przewody zasilania gazami: 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>, N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>O i Powietrze, kodowane kolorami, długość 5 m każdy; wtyki zgodne z normą szwedzką (tzw. AGA)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Cztery dodatkowe gniazda elektryczne, zabezpieczone bezpiecznikami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 pełni automatyczny (czyli bez interakcji z użytkownikiem w trakcie trwania procedury) test główny systemu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Lista kontrolna, czynności do wykonania przed rozpoczęciem testu, prezentowana na ekranie respiratora w formie grafik i tekstu objaśniających poszczególne czynności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Możliwość rozbudowy o funkcję pozwalającą na ustawienie oczekiwanego czasu gotowości aparatu do użycia w tym automatycznego przeprowadzenia testu funkcjonalnego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78.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Aktywne odprowadzanie gazów ze wskaźnikiem przepływu, do podłączenia do szpitalnego gniazda odciągu. Rura ewakuacji gazów o długości 5 m. Wtyk do gniazda odciągu typu DIN.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Wymagane akcesoria dodatkowe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 </w:t>
            </w: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Jeden zbiornik pochłaniacza CO</w:t>
            </w:r>
            <w:r w:rsidRPr="002C7136">
              <w:rPr>
                <w:rFonts w:ascii="Times New Roman" w:hAnsi="Times New Roman" w:cs="Times New Roman"/>
                <w:vertAlign w:val="subscript"/>
              </w:rPr>
              <w:t>2</w:t>
            </w:r>
            <w:r w:rsidRPr="002C7136">
              <w:rPr>
                <w:rFonts w:ascii="Times New Roman" w:hAnsi="Times New Roman" w:cs="Times New Roman"/>
              </w:rPr>
              <w:t xml:space="preserve"> wielorazowy, objętość minimum 1400 ml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Filtry przeciwpyłowe do wielorazowych zbiorników na wapno - </w:t>
            </w:r>
            <w:r w:rsidRPr="002C7136">
              <w:rPr>
                <w:rFonts w:ascii="Times New Roman" w:hAnsi="Times New Roman" w:cs="Times New Roman"/>
                <w:b/>
                <w:bCs/>
              </w:rPr>
              <w:t>5 szt.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Aparat przygotowany do pracy z wielorazowym i jednorazowymi pochłaniaczami CO2. W dostawie 6 zbiorników jednorazowych z wapnem sodowanym.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Jednorazowe wkłady na wydzielinę z żelem – </w:t>
            </w:r>
            <w:r w:rsidRPr="002C7136">
              <w:rPr>
                <w:rFonts w:ascii="Times New Roman" w:hAnsi="Times New Roman" w:cs="Times New Roman"/>
                <w:b/>
                <w:bCs/>
              </w:rPr>
              <w:t>25 szt.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Jednorazowe dreny do odsysania - </w:t>
            </w:r>
            <w:r w:rsidRPr="002C7136">
              <w:rPr>
                <w:rFonts w:ascii="Times New Roman" w:hAnsi="Times New Roman" w:cs="Times New Roman"/>
                <w:b/>
                <w:bCs/>
              </w:rPr>
              <w:t>25 szt.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Jednorazowe, </w:t>
            </w:r>
            <w:proofErr w:type="spellStart"/>
            <w:r w:rsidRPr="002C7136">
              <w:rPr>
                <w:rFonts w:ascii="Times New Roman" w:hAnsi="Times New Roman" w:cs="Times New Roman"/>
              </w:rPr>
              <w:t>bezlateksowe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układy oddechowe, długość rur: wdechowej \ wydechowej co najmniej 170 cm, worek oddechowy 2 L - </w:t>
            </w:r>
            <w:r w:rsidRPr="002C7136">
              <w:rPr>
                <w:rFonts w:ascii="Times New Roman" w:hAnsi="Times New Roman" w:cs="Times New Roman"/>
                <w:b/>
                <w:bCs/>
              </w:rPr>
              <w:t>25 szt</w:t>
            </w:r>
            <w:r w:rsidRPr="002C71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Pułapki wodne do zabezpieczające moduł gazowy - </w:t>
            </w:r>
            <w:r w:rsidRPr="002C7136">
              <w:rPr>
                <w:rFonts w:ascii="Times New Roman" w:hAnsi="Times New Roman" w:cs="Times New Roman"/>
                <w:b/>
                <w:bCs/>
              </w:rPr>
              <w:t>12 szt.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Linie próbkujące - </w:t>
            </w:r>
            <w:r w:rsidRPr="002C7136">
              <w:rPr>
                <w:rFonts w:ascii="Times New Roman" w:hAnsi="Times New Roman" w:cs="Times New Roman"/>
                <w:b/>
                <w:bCs/>
              </w:rPr>
              <w:t>10 szt.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Monitor do aparatu, wymagania ogólne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Monitor o budowie kompaktowej, z kolorowym ekranem LCD o przekątnej przynajmniej 15 cali z rozdzielczością co najmniej 1024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px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 x 768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px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, z wbudowanym zasilaczem sieciowym, przeznaczony do monitorowania noworodków, dzieci i dorosłych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Ze względów ekonomicznych i gwarancyjnych aparat i monitor pacjenta jednego producenta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91.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Monitor wyposażony w tryb nocny, ograniczający jasność podświetlania ekranu, uruchamiany wyłącznie ręcznie przez użytkownika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Wygodne sterowanie monitorem za pomocą stałych przycisków i menu ekranowego w języku polskim.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br/>
              <w:t>Stałe przyciski zapewniają dostęp do najczęściej używanych funkcji.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br/>
              <w:t>Obsługa menu ekranowego: wybór przez dotyk elementu na ekranie, zmiana wartości i wybór pozycji z listy za pomocą pokrętła, potwierdzanie wyboru i zamknięcie okna dialogowego przez naciśnięcie pokrętła. Możliwość zmiany wartości, wybrania pozycji z listy, potwierdzenia wyboru i zamknięcia okna za pomocą tylko ekranu dotykowego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Możliwość wykorzystania monitora do transportu: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nie cięższy niż 7,5 kg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wyposażony w wygodny uchwyt do przenoszenia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wyposażony w akumulator dostępny do wymiany przez użytkownika bez użycia narzędzi, wystarczający przynajmniej na 5 godzin pracy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mocowania umożliwiający szybkie zdjęcie monitora bez użycia narzędzi i wykorzystanie go do transportu pacjenta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Monitor gotowy do uruchomienia łączności bezprzewodowej, umożliwiającej centralne monitorowanie podczas transportu i na stanowisku bez sieci przewodowej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Możliwość dopasowania sposobu wyświetlania parametrów do własnych wymagań. Ilość różnych przebiegów (krzywych) dynamicznych możliwych do jednoczesnego wyświetlenia na ekranie monitora – minimum 8. Dostępny ekran dużych liczb i 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ekran z krótkimi trendami obok odpowiadających im krzywych dynamicznych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Możliwość skonfigurowania, zapamiętania w monitorze i późniejszego przywołania przynajmniej 3 własnych zestawów parametrów pracy monitora 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Trendy tabelaryczne i graficzne wszystkich mierzonych parametrów przynajmniej z 6 dni, z możliwością przeglądania przynajmniej ostatniej godziny z rozdzielczością lepszą niż 5 sekund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Funkcja zapamiętywania krzywych dynamicznych z min. 96 godzin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Oprogramowanie realizujące funkcje: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kalkulatora lekowego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kalkulatora parametrów hemodynamicznych, wentylacyjnych i natlenienia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obliczeń nerkowych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Monitor zamocowany na oferowanym aparacie do znieczulania i połączony z nim, wyświetla przebiegi dynamiczne, łącznie z pętlami oddechowymi, oraz wartości liczbowe danych z aparatu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Monitor umożliwia wyświetlanie danych z innego monitora pacjenta podłączonego do tej samej sieci, również w przypadku braku lub wyłączenia centrali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Monitor wyposażony we wbudowany rejestrator taśmowy, drukujący przynajmniej 3 krzywe dynamiczne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Wbudowany rejestrator taśmowy z możliwością uruchomienia wydruku manualnie na żądanie, w przypadku alarmu czy po stałym interwale czasowym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105.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Dedykowane gniazdo w jednostce głównej monitora umożliwiające podłączenie linki zabezpieczającej przed kradzieżą, np. typu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kensington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-lock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trybie "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Standby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" monitor wyświetla na ekranie duży zegar, pokazujący aktualny czas</w:t>
            </w:r>
          </w:p>
        </w:tc>
        <w:tc>
          <w:tcPr>
            <w:tcW w:w="912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Możliwości monitorowania parametrów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Pomiar EKG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EKG z analizą arytmii, możliwość pomiaru z 3 elektrod i z 5 elektrod, po podłączeniu odpowiedniego przewodu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Zakres pomiarowy przynajmniej: 15-350 uderzeń / minutę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Pomiar odchylenia ST we wszystkich monitorowanych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odprowadzeniach</w:t>
            </w:r>
            <w:proofErr w:type="spellEnd"/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Monitorowanie arytmii z rozpoznawaniem</w:t>
            </w:r>
            <w:r w:rsidRPr="002C7136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przynajmniej</w:t>
            </w: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16 różnych arytmii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Pomiar saturacji i tętna (SpO2)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Pomiar SpO2 algorytmem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Nellcor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 lub równoważnym pod względem wszystkich opublikowanych parametrów dotyczących jakości pomiaru, z możliwością stosowania wszystkich czujników z oferty firmy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Nellcor</w:t>
            </w:r>
            <w:proofErr w:type="spellEnd"/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Zaimplementowany algorytm „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SatSeconds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” do zarządzania alarmami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Nellcor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 SpO2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Pomiar SpO2 algorytmem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Nellcor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 lub równoważnym pod względem wszystkich opublikowanych parametrów dotyczących jakości pomiaru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117.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Wyświetlane wartości liczbowe saturacji, pulsu, krzywa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pletyzmograficzna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 oraz wskaźnik perfuzji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Możliwość ustawienia dźwięku 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br/>
              <w:t>o zmiennej wysokości, gdy zmienia się wartość SpO2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Nieinwazyjny pomiar ciśnienia krwi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Pomiar ciśnienia ręczny i automatyczny z ustawianym czasem powtarzania do przynajmniej 8 godzin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Przechowywanie w pamięci przynamniej 1200 ostatnich wyników pomiarów NIBP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włączenia automatycznego blokowania alarmów saturacji podczas pomiaru saturacji i NIBP na tej samej kończynie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Inwazyjny pomiar ciśnienia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Możliwość przypisania do poszczególnych torów pomiarowych inwazyjnego pomiaru ciśnienia nazw powiązanych z miejscem pomiaru, w tym ciśnienia tętniczego, ciśnienia w tętnicy płucnej, ośrodkowego ciśnienia żylnego 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i ciśnienia śródczaszkowego. Możliwość jednoczesnego pomiaru przynajmniej trzech ciśnień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Automatyczne dopasowanie koloru, alarmów i skali w zależności od wybranej etykiety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Automatyczne obliczanie PPV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Pomiar temperatury 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Wyświetlanie temperatury T1, T2 i różnicy temperatur, w przypadku podłączenia dwóch czujników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Pomiary gazowe 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</w:t>
            </w: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130.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Możliwość rozbudowy o pomiar stężenia gazów anestetycznych, N2O, CO2, O2 czujnikiem paramagnetycznym. Wyniki pomiarów wyświetlane na ekranie monitora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Pomiar BIS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Możliwość rozbudowy o pomiar indeksu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bispektralnego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 obejmujący krzywą EEG, trend BIS oraz wartości pomiarów min. BIS, SQI, SR, SEF, TP i BC, po zastosowaniu odpowiedniego modułu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 xml:space="preserve">Moduł pozwalający określić wskaźnik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bispektralny</w:t>
            </w:r>
            <w:proofErr w:type="spellEnd"/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. Nie dopuszcza się realizacji tej funkcjonalności z wykorzystaniem dodatkowego ekranu lub zewnętrznego monitora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Pomiar</w:t>
            </w:r>
            <w:r w:rsidRPr="002C713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zwiotczenia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</w:t>
            </w: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Pomiar przewodnictwa nerwowo mięśniowego za pomocą stymulacji nerwu łokciowego i rejestracji odpowiedzi za pomocą czujnika 3D, mierzącego drgania kciuka we wszystkich kierunkach, bez konieczności kalibracji czujnika przed wykonaniem pomiaru. Dopuszczalny pomiar za pomocą dodatkowego monitora.</w:t>
            </w: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br/>
              <w:t>Dostępne metody stymulacji, przynajmniej: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lang w:val="fr-FR"/>
              </w:rPr>
            </w:pPr>
            <w:r w:rsidRPr="002C7136">
              <w:rPr>
                <w:rFonts w:ascii="Times New Roman" w:eastAsia="Times New Roman" w:hAnsi="Times New Roman" w:cs="Times New Roman"/>
                <w:lang w:val="fr-FR"/>
              </w:rPr>
              <w:t xml:space="preserve">Train Of Four, 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lang w:val="fr-FR"/>
              </w:rPr>
            </w:pPr>
            <w:r w:rsidRPr="002C7136">
              <w:rPr>
                <w:rFonts w:ascii="Times New Roman" w:eastAsia="Times New Roman" w:hAnsi="Times New Roman" w:cs="Times New Roman"/>
                <w:lang w:val="fr-FR"/>
              </w:rPr>
              <w:t>obliczanie T1/T4 i Tref/T4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>TOF z ustawianymi odstępami automatycznych pomiarów</w:t>
            </w:r>
          </w:p>
          <w:p w:rsidR="00666767" w:rsidRPr="002C7136" w:rsidRDefault="00666767" w:rsidP="00E06B3A">
            <w:pPr>
              <w:pStyle w:val="Akapitzlist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 xml:space="preserve">Tetanus 50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</w:rPr>
              <w:t>Hz</w:t>
            </w:r>
            <w:proofErr w:type="spellEnd"/>
          </w:p>
          <w:p w:rsidR="00666767" w:rsidRPr="002C7136" w:rsidRDefault="00666767" w:rsidP="00E06B3A">
            <w:pPr>
              <w:pStyle w:val="Akapitzlist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136">
              <w:rPr>
                <w:rFonts w:ascii="Times New Roman" w:eastAsia="Times New Roman" w:hAnsi="Times New Roman" w:cs="Times New Roman"/>
              </w:rPr>
              <w:t xml:space="preserve">Single </w:t>
            </w:r>
            <w:proofErr w:type="spellStart"/>
            <w:r w:rsidRPr="002C7136">
              <w:rPr>
                <w:rFonts w:ascii="Times New Roman" w:eastAsia="Times New Roman" w:hAnsi="Times New Roman" w:cs="Times New Roman"/>
              </w:rPr>
              <w:t>Twitch</w:t>
            </w:r>
            <w:proofErr w:type="spellEnd"/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pomiarów przewodnictwa nerwowo mięśniowego u dorosłych i dzieci, poprzez zastosowanie odpowiedniego czujnika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stosowania czujników jednorazowych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138.</w:t>
            </w:r>
          </w:p>
        </w:tc>
        <w:tc>
          <w:tcPr>
            <w:tcW w:w="2200" w:type="pct"/>
            <w:shd w:val="clear" w:color="auto" w:fill="auto"/>
            <w:vAlign w:val="bottom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akcesoria pomiarowe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Przewód EKG do podłączenia 3 elektrod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Czujnik SpO2 dla dorosłych i przewód przedłużający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Wężyk do podłączenia mankietów do pomiaru ciśnienia i mankiet pomiarowy dla dorosłych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Czujnik temperatury skóry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lang w:eastAsia="pl-PL"/>
              </w:rPr>
              <w:t>Akcesoria do pomiaru ciśnienia metodą inwazyjną przynajmniej w 1 torze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Akcesoria do pomiaru NMT dla dorosłych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2200" w:type="pct"/>
            <w:shd w:val="clear" w:color="auto" w:fill="auto"/>
          </w:tcPr>
          <w:p w:rsidR="00666767" w:rsidRPr="004D0AFF" w:rsidRDefault="00666767" w:rsidP="001F59F3">
            <w:pP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D0AFF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Gwarancja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2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Pr="002C71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00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Gwarancja min.</w:t>
            </w: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24 miesiące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</w:tbl>
    <w:p w:rsidR="00E06B3A" w:rsidRDefault="00E06B3A" w:rsidP="00BB320E">
      <w:pPr>
        <w:rPr>
          <w:rFonts w:ascii="Times New Roman" w:hAnsi="Times New Roman" w:cs="Times New Roman"/>
        </w:rPr>
      </w:pPr>
    </w:p>
    <w:p w:rsidR="00BB320E" w:rsidRPr="002C7136" w:rsidRDefault="00BB320E" w:rsidP="00BB320E">
      <w:pPr>
        <w:rPr>
          <w:rFonts w:ascii="Times New Roman" w:hAnsi="Times New Roman" w:cs="Times New Roman"/>
        </w:rPr>
      </w:pPr>
    </w:p>
    <w:p w:rsidR="00B50B10" w:rsidRPr="002F6220" w:rsidRDefault="0006066A" w:rsidP="00B50B10">
      <w:pPr>
        <w:rPr>
          <w:rFonts w:ascii="Times New Roman" w:hAnsi="Times New Roman" w:cs="Times New Roman"/>
          <w:b/>
          <w:sz w:val="28"/>
          <w:szCs w:val="28"/>
        </w:rPr>
      </w:pPr>
      <w:r w:rsidRPr="002F6220">
        <w:rPr>
          <w:rFonts w:ascii="Times New Roman" w:hAnsi="Times New Roman" w:cs="Times New Roman"/>
          <w:b/>
          <w:sz w:val="28"/>
          <w:szCs w:val="28"/>
        </w:rPr>
        <w:t>Narzędzia laparoskopowe</w:t>
      </w: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134"/>
        <w:gridCol w:w="2552"/>
        <w:gridCol w:w="4678"/>
      </w:tblGrid>
      <w:tr w:rsidR="00A351E4" w:rsidRPr="002C7136" w:rsidTr="00E06B3A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1E4" w:rsidRPr="002C7136" w:rsidRDefault="00532B5D" w:rsidP="00532B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1E4" w:rsidRPr="002C7136" w:rsidRDefault="00532B5D" w:rsidP="00A351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Ilość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1E4" w:rsidRPr="002C7136" w:rsidRDefault="00E06B3A" w:rsidP="00A351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</w:t>
            </w:r>
            <w:r w:rsidR="00A351E4"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wymagane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1E4" w:rsidRPr="002C7136" w:rsidRDefault="00E06B3A" w:rsidP="00A351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Parametry </w:t>
            </w:r>
            <w:r w:rsidR="00A351E4" w:rsidRPr="002C71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oferowane</w:t>
            </w:r>
            <w:r w:rsidR="00666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/nr katalogowy</w:t>
            </w:r>
          </w:p>
        </w:tc>
      </w:tr>
      <w:tr w:rsidR="00A351E4" w:rsidRPr="002C7136" w:rsidTr="00E06B3A">
        <w:tc>
          <w:tcPr>
            <w:tcW w:w="704" w:type="dxa"/>
          </w:tcPr>
          <w:p w:rsidR="00A351E4" w:rsidRPr="002C7136" w:rsidRDefault="00A351E4" w:rsidP="00A351E4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1E4" w:rsidRPr="002C7136" w:rsidRDefault="00A351E4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Nożyczki Laparoskopowe METZENBAUM, odgięte, dł.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branszy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17mm, ząbkowane, narzędzie 3-częściowe, dł. robocza 360mm, średnica 5mm,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 z bagnetowym systemem wpinania rączki. Uchwyt (rączka) wykonana z włókna węglowego, z dodatkowym spocznikiem na palec, z portem HF 45 stopni, bez blokady. Płaszcz (tubus) narzędzia laparoskopowego z portem do mycia w myjni mechanicznej. </w:t>
            </w:r>
          </w:p>
        </w:tc>
        <w:tc>
          <w:tcPr>
            <w:tcW w:w="1134" w:type="dxa"/>
          </w:tcPr>
          <w:p w:rsidR="00A351E4" w:rsidRPr="002C7136" w:rsidRDefault="00A351E4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A351E4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A351E4" w:rsidRPr="002C7136" w:rsidRDefault="00A351E4" w:rsidP="00A351E4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imadło laparoskopowe 5mm/330mm, uchwyt lekki, aluminiowy,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pasywowany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, szczęki proste, rączka prosta, poosiowa z portem do mycia typu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Luer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>-Lock.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Grasper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laparoskopowy typu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Fenestrated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grasping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forceps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, okienkowy,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o dł. 18mm rowkowane,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dwuakcyjne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>, atraumatyczne, narzędzie 3-częściowe, dł. robocza 360mm, średnica 5mm,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z bagnetowym systemem wpinania rączki. Uchwyt (rączka)  z dodatkowym spocznikiem na palec, z portem HF 45 stopni, z blokadą umożliwiającą trwałe otwarcie blokady. Płaszcz (tubus) narzędzia laparoskopowego z portem do mycia w myjni mechanicznej. 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Elektroda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monopolarna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typu haczyk 90stopni, , śr. 5 mm , dł. 330mm.Autoklawowalna.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Elektroda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monopolarna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typu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szpatuła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>, śr. 5 mm , dł. 330mm.Autoklawowalna.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Kleszczyki laparoskopowe typu</w:t>
            </w:r>
            <w:r w:rsidRPr="002C7136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Johan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o dł. 25mm, jedna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bransza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ruchoma, narzędzie 3-częściowe, dł. robocza 360mm, średnica 5mm,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 z bagnetowym systemem wpinania rączki. Uchwyt (rączka) z dodatkowym spocznikiem na palec, z portem HF 45 stopni, z blokadą. Płaszcz (tubus) narzędzia laparoskopowego z portem do mycia w myjni mechanicznej,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autoklawowalne</w:t>
            </w:r>
            <w:proofErr w:type="spellEnd"/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Kleszczyki laparoskopowe typu</w:t>
            </w:r>
            <w:r w:rsidRPr="002C7136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Johan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o dł. 41mm,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dwuakcyjny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>, narzędzie 3-częściowe, dł. robocza 360mm, średnica 5mm,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 z bagnetowym systemem wpinania </w:t>
            </w:r>
            <w:r w:rsidRPr="002C7136">
              <w:rPr>
                <w:rFonts w:ascii="Times New Roman" w:hAnsi="Times New Roman" w:cs="Times New Roman"/>
                <w:color w:val="000000"/>
              </w:rPr>
              <w:lastRenderedPageBreak/>
              <w:t xml:space="preserve">rączki. Uchwyt (rączka) z dodatkowym spocznikiem na palec, z portem HF 45 stopni, z blokadą. Płaszcz (tubus) narzędzia laparoskopowego z portem do mycia w myjni mechanicznej,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autoklawowalne</w:t>
            </w:r>
            <w:proofErr w:type="spellEnd"/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Grasper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laparoskopowy typu CLAW do usuwania pęcherzyka,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jednoakcyjne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o dł. 30mm  narzędzie 3-częściowe, dł. robocza 360mm, średnica 10mm,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z bagnetowym systemem wpinania rączki. Uchwyt (rączka) z dodatkowym spocznikiem na palec, z portem HF 45 stopni, z blokadą umożliwiającą trwałe otwarcie blokady. Płaszcz (tubus) narzędzia laparoskopowego z portem do mycia w myjni mechanicznej. 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Grasper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laparoskopowy typu CLAW do usuwania pęcherzyka,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jednoakcyjne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o dł. 24mm  narzędzie 3-częściowe, dł. robocza 360mm, średnica 5mm,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z bagnetowym systemem wpinania rączki. Uchwyt (rączka) z dodatkowym spocznikiem na palec, z portem HF 45 stopni, z blokadą umożliwiającą trwałe otwarcie blokady. Płaszcz (tubus) narzędzia laparoskopowego z portem do mycia w myjni mechanicznej. 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Narzędzie Laparoskopowe, typu PREPARATOR Maryland,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bransze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atraumatyczne o dł. 21mm, delikatnie rowkowane w romby, narzędzie 3-częściowe, dł. robocza 360 mm, średnica 5mm, obrotowe 360</w:t>
            </w:r>
            <w:r w:rsidRPr="002C7136">
              <w:rPr>
                <w:rFonts w:ascii="Cambria Math" w:hAnsi="Cambria Math" w:cs="Cambria Math"/>
                <w:color w:val="000000"/>
              </w:rPr>
              <w:t>⁰</w:t>
            </w:r>
            <w:r w:rsidRPr="002C7136">
              <w:rPr>
                <w:rFonts w:ascii="Times New Roman" w:hAnsi="Times New Roman" w:cs="Times New Roman"/>
                <w:color w:val="000000"/>
              </w:rPr>
              <w:t xml:space="preserve">, z bagnetowym systemem wpinania rączki. Uchwyt (rączka) wykonana z włókna węglowego, z dodatkowym spocznikiem na palec, z portem HF 45 stopni, bez blokady. Płaszcz (tubus) narzędzia laparoskopowego z portem do mycia w myjni mechanicznej. 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Przewód, kabel,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monopolarny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do narzędzi laparoskopowych.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Optyka laparoskopowa, kąt 0stopni.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światłowód  o średnicy 4,8mm i długości 3m.  Kompatybilny ze źródłem światła będącym na wyposażeniu szpitala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Kontener aluminiowy w systemie bezobsługowym, wymiary zewnętrzne wanny 600x272x190mm, kosz stalowy z uchwytami, mata silikonowa typu MESH, stojak na narzędzia laparoskopowe.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kontener z pozycjonerami, do sterylizacji optyk laparoskopowych</w:t>
            </w:r>
          </w:p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5D" w:rsidRPr="002C7136" w:rsidRDefault="00532B5D" w:rsidP="00532B5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Klipsownica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laparoskopowa duża – L. śr. 10 mm do klipsów polimerowych L  firmy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Welfare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Medical</w:t>
            </w:r>
            <w:proofErr w:type="spellEnd"/>
            <w:r w:rsidRPr="002C713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  <w:tr w:rsidR="00532B5D" w:rsidRPr="002C7136" w:rsidTr="00E06B3A">
        <w:tc>
          <w:tcPr>
            <w:tcW w:w="704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Klipsy polimerowe rozmiar L  1op (14 magazynków po 6 klipsów) do naczyń 7-16mm</w:t>
            </w:r>
          </w:p>
        </w:tc>
        <w:tc>
          <w:tcPr>
            <w:tcW w:w="1134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532B5D" w:rsidRPr="002C7136" w:rsidRDefault="00532B5D" w:rsidP="00532B5D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678" w:type="dxa"/>
          </w:tcPr>
          <w:p w:rsidR="00532B5D" w:rsidRPr="002C7136" w:rsidRDefault="00532B5D" w:rsidP="00532B5D">
            <w:pPr>
              <w:rPr>
                <w:rFonts w:ascii="Times New Roman" w:hAnsi="Times New Roman" w:cs="Times New Roman"/>
              </w:rPr>
            </w:pPr>
          </w:p>
        </w:tc>
      </w:tr>
    </w:tbl>
    <w:p w:rsidR="00853E45" w:rsidRPr="002F6220" w:rsidRDefault="00853E45" w:rsidP="00853E45">
      <w:pPr>
        <w:rPr>
          <w:rFonts w:ascii="Times New Roman" w:hAnsi="Times New Roman" w:cs="Times New Roman"/>
        </w:rPr>
      </w:pPr>
      <w:r w:rsidRPr="002C7136">
        <w:rPr>
          <w:rFonts w:ascii="Times New Roman" w:hAnsi="Times New Roman" w:cs="Times New Roman"/>
        </w:rPr>
        <w:br w:type="page"/>
      </w:r>
      <w:r w:rsidRPr="002C713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Łóżko anestezjologiczne szt. 1</w:t>
      </w:r>
    </w:p>
    <w:p w:rsidR="00853E45" w:rsidRPr="002C7136" w:rsidRDefault="00853E45" w:rsidP="00853E45">
      <w:pPr>
        <w:rPr>
          <w:rFonts w:ascii="Times New Roman" w:hAnsi="Times New Roman" w:cs="Times New Roman"/>
        </w:rPr>
      </w:pP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5919"/>
      </w:tblGrid>
      <w:tr w:rsidR="00853E45" w:rsidRPr="002C7136" w:rsidTr="001F59F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C713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136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C7136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C7136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Rok produkcji min. 2025 (produkt</w:t>
            </w:r>
            <w:r w:rsidRPr="002C7136">
              <w:rPr>
                <w:rFonts w:ascii="Times New Roman" w:hAnsi="Times New Roman" w:cs="Times New Roman"/>
                <w:bCs/>
              </w:rPr>
              <w:t xml:space="preserve"> fabrycznie nowy, </w:t>
            </w:r>
            <w:proofErr w:type="spellStart"/>
            <w:r w:rsidRPr="002C7136">
              <w:rPr>
                <w:rFonts w:ascii="Times New Roman" w:hAnsi="Times New Roman" w:cs="Times New Roman"/>
                <w:bCs/>
              </w:rPr>
              <w:t>nierekondycjonowany</w:t>
            </w:r>
            <w:proofErr w:type="spellEnd"/>
            <w:r w:rsidRPr="002C7136">
              <w:rPr>
                <w:rFonts w:ascii="Times New Roman" w:hAnsi="Times New Roman" w:cs="Times New Roman"/>
                <w:bCs/>
              </w:rPr>
              <w:t>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7136">
              <w:rPr>
                <w:rFonts w:ascii="Times New Roman" w:hAnsi="Times New Roman" w:cs="Times New Roman"/>
                <w:b/>
                <w:bCs/>
                <w:color w:val="00000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ind w:right="141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Metalowa konstrukcja łóżka lakierowana proszkowo. Podstawa łóżka pozbawiona kabli oraz układów sterujących funkcjami łóżka, łatwa w utrzymaniu czystości.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Podstawa łóżka pantograf podpierająca leże w minimum 8 punktach, gwarantująca stabilność leża. </w:t>
            </w:r>
          </w:p>
          <w:p w:rsidR="00853E45" w:rsidRPr="002C7136" w:rsidRDefault="00853E45" w:rsidP="001F59F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</w:rPr>
              <w:t>Wszystkie przewody umieszczone w listwie stanowiącej tunel dla przewodów zasilających siłowniki.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ind w:right="141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Wolna przestrzeń pomiędzy podłożem, a całym podwoziem wynosząca nie mniej niż 150 mm umożliwiająca łatwy przejazd przez progi oraz wjazd do dźwigów osobowych.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Wymiary zewnętrzne łóżka: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Długość całkowita: max. 2 200 mm,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Szerokość całkowita wraz z zamontowanymi barierkami wynosi max. 1 000 mm (wymiar leża min. 860 mm x 2 000 mm)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Leże łóżka czterosegmentowe z czego min. 3 segmenty ruchome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Zasilanie elektryczne 220/230 V</w:t>
            </w:r>
          </w:p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Przewód zasilający skrętny. Kabel wyposażony w tworzywowy uchwyt do zawieszenia na szczycie łóżka z możliwością zawieszenia wtyczki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BB320E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Rama leża wyposażona w gniazdo wyrównania potencjału. Łóżko przebadane pod kąt</w:t>
            </w:r>
            <w:r w:rsidR="00BB320E">
              <w:rPr>
                <w:rFonts w:ascii="Times New Roman" w:hAnsi="Times New Roman" w:cs="Times New Roman"/>
              </w:rPr>
              <w:t>em bezpieczeństwa elektrycznego.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Elektryczne regulacje: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segment oparcia pleców min. 0° - 70° 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segment uda min. 0° - 32°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kąt przechyłu </w:t>
            </w:r>
            <w:proofErr w:type="spellStart"/>
            <w:r w:rsidRPr="002C7136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min. 0° - 15° 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kąt przechyłu anty-</w:t>
            </w:r>
            <w:proofErr w:type="spellStart"/>
            <w:r w:rsidRPr="002C7136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min. 0° - 15°</w:t>
            </w:r>
          </w:p>
          <w:p w:rsidR="00853E45" w:rsidRPr="002C7136" w:rsidRDefault="00853E45" w:rsidP="00853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regulacja segmentu podudzia – ręczna   mechanizmem zapadkowym.</w:t>
            </w:r>
          </w:p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Łóżko posiadające automatyczne zatrzymanie w pozycji poziomej, podczas zmiany przechyłów wzdłużnych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Elektryczna regulacja wysokości w zakresie:</w:t>
            </w:r>
          </w:p>
          <w:p w:rsidR="00853E45" w:rsidRPr="002C7136" w:rsidRDefault="00853E45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380 mm i niżej do 800 mm i wyżej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Czas zmiany wysokości leża z pozycji minimalnej do maksymalnej max. 23 sekund.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Łóżko wyposażone w panel sterujący chowany pod leżem w półce do odkładania pościeli. Panel wyposażony w elektroniczne zabezpieczenie przed przypadkowym uruchomieniem funkcji elektrycznych z możliwością blokady poszczególnych funkcji pilota. Panel sterujący wyposażony w funkcję regulacji segmentu oparcia pleców, uda, wysokości leża, pozycji wzdłużnych oraz uzyskiwanych za pomocą jednego przycisku funkcji </w:t>
            </w:r>
            <w:proofErr w:type="spellStart"/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antyszokowej</w:t>
            </w:r>
            <w:proofErr w:type="spellEnd"/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, egzaminacyjnej, CPR, krzesła kardiologicznego.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Segment oparcia pleców z możliwością mechanicznego szybkiego poziomowania (CPR) – dźwignia umieszczona pod segmentem wezgłowia, oznaczona kolorem pomarańczowym lub czerwonym.</w:t>
            </w:r>
          </w:p>
          <w:p w:rsidR="00853E45" w:rsidRPr="002C7136" w:rsidRDefault="00853E45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Dźwignia CPR umożliwiająca mechaniczne uniesienie segmentu pleców w przypadku braku zasilania (alternatywny napęd)</w:t>
            </w:r>
          </w:p>
          <w:p w:rsidR="00853E45" w:rsidRPr="002C7136" w:rsidRDefault="00853E45" w:rsidP="001F59F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C7136">
              <w:rPr>
                <w:rFonts w:ascii="Times New Roman" w:hAnsi="Times New Roman" w:cs="Times New Roman"/>
              </w:rPr>
              <w:t>Autokontur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segmentu oparcia pleców i uda.</w:t>
            </w:r>
          </w:p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  <w:bCs/>
                <w:highlight w:val="yellow"/>
              </w:rPr>
            </w:pPr>
            <w:r w:rsidRPr="002C7136">
              <w:rPr>
                <w:rFonts w:ascii="Times New Roman" w:hAnsi="Times New Roman" w:cs="Times New Roman"/>
              </w:rPr>
              <w:t xml:space="preserve">Autoregresja segmentu min. oparcia pleców zapobiegająca przed zsuwaniem pacjenta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Leże wypełnione panelami z polipropylenu odpornego na działanie wysokiej temperatury, środków dezynfekujących oraz promieni UV. Płyty odejmowane bez użycia narzędzi z otworami do montażu pasów unieruchamiających. Segment oparcia pleców wypełniony płytą np. HPL przezierną dla RTG. Segment oparcia pleców wyposażony w tunel na kasetę RTG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Szczyty łóżka wykonane z tworzywa z możliwością blokowania przed niezamierzonym wypadnięciem w czasie transportu za pomocą suwaków umieszczonych na ramie leża w wyraźnie odróżniającym się kolorze. Szczyty łatwo odejmowane, odporne na działanie wysokiej temperatury, uszkodzenia mechaniczne, chemiczne oraz promieniowanie UV. Wykonane z polipropylenu o grubości ściany min. 4mm z kolorowymi wklejkami.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BB320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Łóżko wyposażone w cztery niezależne, opuszczane ruchem półkulistym, tworzywowe barierki boczne, zabezpieczające pacjenta</w:t>
            </w:r>
            <w:r w:rsidR="00BB32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Opuszczanie oraz podnoszenie barierek bocznych w łatwy sposób za pomocą jednej ręki, wspomagane pneumatyczne. </w:t>
            </w: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Barierki od strony głowy poruszające się wraz z segmentem oparcia pleców.</w:t>
            </w: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 xml:space="preserve">Wysokość barierek bocznych zabezpieczająca pacjenta minimum 39 cm.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Barierki boczne wykonane z tworzywa, wypełnione wklejką kolorystyczną dostępną w minimum 6 i kolorach posiadające podziałkę kątową w postaci wytłoczenia.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Barierki zabezpieczające pacjenta na całej długości leża.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Sterowanie funkcjami łóżka:   </w:t>
            </w:r>
          </w:p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Panel w barierkach od wewnątrz dla pacjenta: umożliwiający czytelne zastosowanie funkcji tj.:   </w:t>
            </w: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Regulacja wezgłowia, pozycja fotelowa, regulacja wysokości leża, regulacja uda, przycisk uruchamiający podświetlenie łóżka.  </w:t>
            </w: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Panel dla personelu medycznego po stronie zewnętrznej barierek umożliwiający czytelne zastosowanie funkcji tj.: regulacja wezgłowia, regulacja wysokości leża, regulacja uda, pozycja fotelowa, pozycja anty-</w:t>
            </w:r>
            <w:proofErr w:type="spellStart"/>
            <w:r w:rsidRPr="002C7136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, przycisk uruchamiający podświetlenie łóżka.  </w:t>
            </w: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Przycisk blokowania/zwalniania funkcji oraz świadomego aktywowania funkcji CPR oraz pozycji przeciwwstrząsowej. 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Łóżko posiadające funkcję krzesła kardiologicznego uzyskiwaną na za pomocą jednego przycisku na panelu pielęgniarskim i w panelach sterujących barierek bocznych od strony wewnętrznej i zewnętrznej. </w:t>
            </w:r>
          </w:p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 xml:space="preserve">Łóżko rozpoczyna serię skoordynowanych ruchów rozpoczynając od podniesienia segmentu podudzia, co pozwala uniknąć zsuwania się </w:t>
            </w:r>
            <w:r w:rsidRPr="002C7136">
              <w:rPr>
                <w:rFonts w:ascii="Times New Roman" w:hAnsi="Times New Roman" w:cs="Times New Roman"/>
                <w:color w:val="000000"/>
              </w:rPr>
              <w:lastRenderedPageBreak/>
              <w:t>pacjenta, następnie podnoszony jest segment pleców i przechył anty-</w:t>
            </w:r>
            <w:proofErr w:type="spellStart"/>
            <w:r w:rsidRPr="002C7136">
              <w:rPr>
                <w:rFonts w:ascii="Times New Roman" w:hAnsi="Times New Roman" w:cs="Times New Roman"/>
                <w:color w:val="000000"/>
              </w:rPr>
              <w:t>trendelemburga</w:t>
            </w:r>
            <w:proofErr w:type="spellEnd"/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7136">
              <w:rPr>
                <w:rFonts w:ascii="Times New Roman" w:hAnsi="Times New Roman" w:cs="Times New Roman"/>
              </w:rPr>
              <w:t>Możliwość zamontowania po dwóch stronach łóżka uchwytów na worki urologiczne, worki umiejscowione na wysokości biodra.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 narożnikach leża 4 krążki stożkowe uniemożliwiające przypadkowe wyrwanie parapetów okiennych lub listew ściennych przy regulacji wysokości łóżka, chroniące łóżko i ściany przed uderzeniami oraz otarciami.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Leże w części środkowej wyprofilowane w celu pełnienia funkcji uchwytu materaca. Nie dopuszcza się uchwytów materaca zlokalizowanych w segmencie nożnym leża powodujące urazy kończyn i otarć podczas opuszczania łózka.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Podstawa łóżka jezdna wyposażona w antystatyczne koła o średnicy min. 150 mm z centralną blokadą kół oraz blokadą kierunkową.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Łóżko z możliwością przedłużenia leża o min. 250 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Bezpieczne obciążenie min. 250 kg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Podświetlenie pod leżem łóżka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Możliwość montażu wysięgnika z uchwytem do ręki i wieszaka kroplówki (możliwość zamontowania wieszaka w czterech narożnikach leża)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Możliwość wyboru kolorów wypełnień min. 6 kolorów.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Łóżko wyposażone w półkę do odkładania pościeli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C7136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Materac</w:t>
            </w:r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posiadający 3-centymetrową warstwą wykonaną z pianki </w:t>
            </w:r>
            <w:proofErr w:type="spellStart"/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wiskoelastycznej</w:t>
            </w:r>
            <w:proofErr w:type="spellEnd"/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oraz 9-centymetrową warstwę z pianki zimnej. Materac z otworami wielostrefowymi zapewniającymi odprowadzanie wilgoci, wentylację dolnych części materaca. Wymiary (S × D × W): 87 cm × 200 </w:t>
            </w:r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cm × 15 cm (</w:t>
            </w:r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sym w:font="Symbol" w:char="F0B1"/>
            </w:r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3 cm). Gęstość objętościowa: min. 60/40 kg/m³, wytrzymałość na ściskanie: 2,8/4,0 </w:t>
            </w:r>
            <w:proofErr w:type="spellStart"/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kPa</w:t>
            </w:r>
            <w:proofErr w:type="spellEnd"/>
            <w:r w:rsidRPr="002C713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 Pokrytego pokrowcem z tkaniny nieprzemakalnej oddychającej Temperatura prania pokrowca do min. 95° C. Dezynfekcja parowa w stacjach dezynfekujących do min. 105° C Suszenie maszynowe do min. 120° C</w:t>
            </w:r>
          </w:p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Gwarancja min. 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Serwis pogwarancyjny, odpłatny przez okres min. 10 lat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Gwarancja zapewnienia zakupu części zamiennych przez okres min. 15 lat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3E45" w:rsidRPr="002C7136" w:rsidTr="001F59F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853E45">
            <w:pPr>
              <w:pStyle w:val="Akapitzlist"/>
              <w:numPr>
                <w:ilvl w:val="0"/>
                <w:numId w:val="4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Czas reakcji serwisu max. 72 godz. robocze.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E45" w:rsidRPr="002C7136" w:rsidRDefault="00853E45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45" w:rsidRPr="002C7136" w:rsidRDefault="00853E45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853E45" w:rsidRPr="002C7136" w:rsidRDefault="00853E45" w:rsidP="00853E45">
      <w:pPr>
        <w:jc w:val="both"/>
        <w:rPr>
          <w:rFonts w:ascii="Times New Roman" w:hAnsi="Times New Roman" w:cs="Times New Roman"/>
        </w:rPr>
      </w:pPr>
    </w:p>
    <w:p w:rsidR="00853E45" w:rsidRPr="002C7136" w:rsidRDefault="00853E45">
      <w:pPr>
        <w:rPr>
          <w:rFonts w:ascii="Times New Roman" w:hAnsi="Times New Roman" w:cs="Times New Roman"/>
        </w:rPr>
      </w:pPr>
      <w:r w:rsidRPr="002C7136">
        <w:rPr>
          <w:rFonts w:ascii="Times New Roman" w:hAnsi="Times New Roman" w:cs="Times New Roman"/>
        </w:rPr>
        <w:br w:type="page"/>
      </w:r>
    </w:p>
    <w:p w:rsidR="00853E45" w:rsidRPr="002F6220" w:rsidRDefault="00853E45" w:rsidP="002F6220">
      <w:pPr>
        <w:rPr>
          <w:rFonts w:ascii="Times New Roman" w:hAnsi="Times New Roman" w:cs="Times New Roman"/>
          <w:b/>
          <w:sz w:val="28"/>
          <w:szCs w:val="28"/>
        </w:rPr>
      </w:pPr>
      <w:r w:rsidRPr="002C713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Łóżko pooperacyjne</w:t>
      </w:r>
      <w:r w:rsidR="002F6220">
        <w:rPr>
          <w:rFonts w:ascii="Times New Roman" w:hAnsi="Times New Roman" w:cs="Times New Roman"/>
          <w:b/>
          <w:sz w:val="28"/>
          <w:szCs w:val="28"/>
        </w:rPr>
        <w:t xml:space="preserve"> szt. 2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740"/>
        <w:gridCol w:w="1279"/>
        <w:gridCol w:w="5947"/>
      </w:tblGrid>
      <w:tr w:rsidR="00666767" w:rsidRPr="002C7136" w:rsidTr="002F6220">
        <w:trPr>
          <w:trHeight w:val="306"/>
        </w:trPr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C713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136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666767" w:rsidRPr="002C7136" w:rsidTr="002F6220">
        <w:trPr>
          <w:trHeight w:val="306"/>
        </w:trPr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Rok produkcji min. 2025 (produkt</w:t>
            </w:r>
            <w:r w:rsidRPr="002C7136">
              <w:rPr>
                <w:rFonts w:ascii="Times New Roman" w:hAnsi="Times New Roman" w:cs="Times New Roman"/>
                <w:bCs/>
              </w:rPr>
              <w:t xml:space="preserve"> fabrycznie nowy, </w:t>
            </w:r>
            <w:proofErr w:type="spellStart"/>
            <w:r w:rsidRPr="002C7136">
              <w:rPr>
                <w:rFonts w:ascii="Times New Roman" w:hAnsi="Times New Roman" w:cs="Times New Roman"/>
                <w:bCs/>
              </w:rPr>
              <w:t>nierekondycjonowany</w:t>
            </w:r>
            <w:proofErr w:type="spellEnd"/>
            <w:r w:rsidRPr="002C7136">
              <w:rPr>
                <w:rFonts w:ascii="Times New Roman" w:hAnsi="Times New Roman" w:cs="Times New Roman"/>
                <w:bCs/>
              </w:rPr>
              <w:t>, nie powystawowy)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548" w:type="pct"/>
            <w:gridSpan w:val="2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  <w:color w:val="000000"/>
              </w:rPr>
              <w:t>Dane sprzętu medycznego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rPr>
          <w:trHeight w:val="1406"/>
        </w:trPr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BB320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hAnsi="Times New Roman" w:cs="Times New Roman"/>
              </w:rPr>
              <w:t>Metalowa konstrukcja łóż</w:t>
            </w:r>
            <w:r w:rsidR="00BB320E">
              <w:rPr>
                <w:rFonts w:ascii="Times New Roman" w:hAnsi="Times New Roman" w:cs="Times New Roman"/>
              </w:rPr>
              <w:t xml:space="preserve">ka lakierowana proszkowo. </w:t>
            </w:r>
            <w:r w:rsidRPr="002C7136">
              <w:rPr>
                <w:rFonts w:ascii="Times New Roman" w:hAnsi="Times New Roman" w:cs="Times New Roman"/>
              </w:rPr>
              <w:t xml:space="preserve">Podstawa łóżka oraz przestrzeń pomiędzy podstawą a leżem pozbawiona kabli, łatwa w utrzymaniu higieny. 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2F6220" w:rsidP="002F62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rPr>
          <w:trHeight w:val="306"/>
        </w:trPr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Wymiary zewnętrzne: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długość 2180 mm 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30 mm)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szerokość 1020 mm 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30 mm)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wymiar leża min. 900 mm x 2000 mm  </w:t>
            </w:r>
          </w:p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Przedłużenie leża minimum 25 cm</w:t>
            </w:r>
            <w:r w:rsidRPr="002C7136">
              <w:rPr>
                <w:rFonts w:ascii="Times New Roman" w:hAnsi="Times New Roman" w:cs="Times New Roman"/>
              </w:rPr>
              <w:t>.</w:t>
            </w:r>
          </w:p>
          <w:p w:rsidR="00666767" w:rsidRPr="002C7136" w:rsidRDefault="00666767" w:rsidP="001F59F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2C7136">
              <w:rPr>
                <w:rFonts w:ascii="Times New Roman" w:hAnsi="Times New Roman" w:cs="Times New Roman"/>
              </w:rPr>
              <w:t>Dźwignie zwalniania mechanizmu umieszczone od strony nóg w szczycie łóżka. Nie dopuszcza się mechanizmów umieszczonych pod ramą leża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W narożnikach leża 4 krążk</w:t>
            </w:r>
            <w:r w:rsidRPr="002C7136">
              <w:rPr>
                <w:rFonts w:ascii="Times New Roman" w:hAnsi="Times New Roman" w:cs="Times New Roman"/>
              </w:rPr>
              <w:t>i stożkowe, chroniące łóżko i ściany przed uderzeniami oraz otarciami.</w:t>
            </w:r>
          </w:p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W części wezgłowia krążki dwuosiowe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 xml:space="preserve">Szyny nierdzewne mocowane po bokach łóżka </w:t>
            </w:r>
            <w:r w:rsidRPr="002C7136">
              <w:rPr>
                <w:rFonts w:ascii="Times New Roman" w:hAnsi="Times New Roman" w:cs="Times New Roman"/>
              </w:rPr>
              <w:t>na min. 60% długości leża oraz w szczycie łóżka od strony głowy</w:t>
            </w:r>
          </w:p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Szczyty łóżka wykonane z tworzywa, wypełnione wklejką kolorystyczną dostępną w minimum 6 kolorach Możliwość zabezpieczenia szczytów przed przypadkowym wyjęciem w czasie transportu poprzez 2 suwaki.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color w:val="FF0000"/>
              </w:rPr>
            </w:pPr>
            <w:r w:rsidRPr="002C7136">
              <w:rPr>
                <w:rFonts w:ascii="Times New Roman" w:hAnsi="Times New Roman" w:cs="Times New Roman"/>
              </w:rPr>
              <w:t>Listwa do montażu wyposażenia dodatkowego na ramie leża pod szczytem łóżka od strony głowy i nóg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Segment wezgłowia wypełniony płytą HPL</w:t>
            </w:r>
            <w:r w:rsidRPr="002C7136">
              <w:rPr>
                <w:rFonts w:ascii="Times New Roman" w:hAnsi="Times New Roman" w:cs="Times New Roman"/>
              </w:rPr>
              <w:t xml:space="preserve"> wraz z tunelem na kasetę RTG, pozostałe segmenty leża wypełnione łatwo odejmowanymi panelami (bez konieczności użycia narzędzi) z polipropylenu. </w:t>
            </w:r>
          </w:p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Segment oparcia pleców z możliwością szybkiego poziomowania - CPR.</w:t>
            </w:r>
          </w:p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Wszystkie segmenty leża przystosowane do montażu pasów unieruchamiających pacjenta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Elektryczna regulacja wysokości w zakresie od 420 mm – 840 mm 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30 mm)</w:t>
            </w:r>
          </w:p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Elektryczne regulacje: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segmentu oparcia pleców 0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 xml:space="preserve"> - 70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 xml:space="preserve"> 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>)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left"/>
              <w:rPr>
                <w:rFonts w:ascii="Times New Roman" w:hAnsi="Times New Roman" w:cs="Times New Roman"/>
                <w:lang w:val="es-ES"/>
              </w:rPr>
            </w:pPr>
            <w:r w:rsidRPr="002C7136">
              <w:rPr>
                <w:rFonts w:ascii="Times New Roman" w:hAnsi="Times New Roman" w:cs="Times New Roman"/>
                <w:lang w:val="es-ES"/>
              </w:rPr>
              <w:t>segmentu uda 0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 xml:space="preserve"> </w:t>
            </w:r>
            <w:r w:rsidRPr="002C7136">
              <w:rPr>
                <w:rFonts w:ascii="Times New Roman" w:hAnsi="Times New Roman" w:cs="Times New Roman"/>
                <w:lang w:val="es-ES"/>
              </w:rPr>
              <w:t>- 40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  <w:lang w:val="es-ES"/>
              </w:rPr>
              <w:t xml:space="preserve"> </w:t>
            </w:r>
            <w:r w:rsidRPr="002C7136">
              <w:rPr>
                <w:rFonts w:ascii="Times New Roman" w:hAnsi="Times New Roman" w:cs="Times New Roman"/>
              </w:rPr>
              <w:t>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>)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left"/>
              <w:rPr>
                <w:rFonts w:ascii="Times New Roman" w:hAnsi="Times New Roman" w:cs="Times New Roman"/>
                <w:lang w:val="es-ES"/>
              </w:rPr>
            </w:pPr>
            <w:r w:rsidRPr="002C7136">
              <w:rPr>
                <w:rFonts w:ascii="Times New Roman" w:hAnsi="Times New Roman" w:cs="Times New Roman"/>
                <w:lang w:val="es-ES"/>
              </w:rPr>
              <w:t>poz. Trendelenburga 0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 xml:space="preserve"> </w:t>
            </w:r>
            <w:r w:rsidRPr="002C7136">
              <w:rPr>
                <w:rFonts w:ascii="Times New Roman" w:hAnsi="Times New Roman" w:cs="Times New Roman"/>
                <w:lang w:val="es-ES"/>
              </w:rPr>
              <w:t>- 17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  <w:lang w:val="es-ES"/>
              </w:rPr>
              <w:t xml:space="preserve"> </w:t>
            </w:r>
            <w:r w:rsidRPr="002C7136">
              <w:rPr>
                <w:rFonts w:ascii="Times New Roman" w:hAnsi="Times New Roman" w:cs="Times New Roman"/>
              </w:rPr>
              <w:t>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>)</w:t>
            </w:r>
          </w:p>
          <w:p w:rsidR="00666767" w:rsidRPr="002C7136" w:rsidRDefault="00666767" w:rsidP="00853E45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left"/>
              <w:rPr>
                <w:rFonts w:ascii="Times New Roman" w:hAnsi="Times New Roman" w:cs="Times New Roman"/>
                <w:lang w:val="es-ES"/>
              </w:rPr>
            </w:pPr>
            <w:r w:rsidRPr="002C7136">
              <w:rPr>
                <w:rFonts w:ascii="Times New Roman" w:hAnsi="Times New Roman" w:cs="Times New Roman"/>
                <w:lang w:val="es-ES"/>
              </w:rPr>
              <w:t>poz. Anty-Trendelenburga 0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 xml:space="preserve"> </w:t>
            </w:r>
            <w:r w:rsidRPr="002C7136">
              <w:rPr>
                <w:rFonts w:ascii="Times New Roman" w:hAnsi="Times New Roman" w:cs="Times New Roman"/>
                <w:lang w:val="es-ES"/>
              </w:rPr>
              <w:t>- 17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  <w:lang w:val="es-ES"/>
              </w:rPr>
              <w:t xml:space="preserve"> </w:t>
            </w:r>
            <w:r w:rsidRPr="002C7136">
              <w:rPr>
                <w:rFonts w:ascii="Times New Roman" w:hAnsi="Times New Roman" w:cs="Times New Roman"/>
              </w:rPr>
              <w:t>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3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>)</w:t>
            </w:r>
          </w:p>
          <w:p w:rsidR="00666767" w:rsidRPr="002F6220" w:rsidRDefault="00666767" w:rsidP="001F59F3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przechyły boczne leża – ok. 30° (</w:t>
            </w:r>
            <w:r w:rsidRPr="002C7136">
              <w:rPr>
                <w:rFonts w:ascii="Times New Roman" w:hAnsi="Times New Roman" w:cs="Times New Roman"/>
              </w:rPr>
              <w:sym w:font="Symbol" w:char="F0B1"/>
            </w:r>
            <w:r w:rsidRPr="002C7136">
              <w:rPr>
                <w:rFonts w:ascii="Times New Roman" w:hAnsi="Times New Roman" w:cs="Times New Roman"/>
              </w:rPr>
              <w:t xml:space="preserve"> 5</w:t>
            </w:r>
            <w:r w:rsidRPr="002C7136">
              <w:rPr>
                <w:rFonts w:ascii="Times New Roman" w:hAnsi="Times New Roman" w:cs="Times New Roman"/>
              </w:rPr>
              <w:sym w:font="Symbol" w:char="F0B0"/>
            </w:r>
            <w:r w:rsidRPr="002C71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Segment oparcia pleców z autoregresją min. 10 cm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Regulacja elektryczna funkcji </w:t>
            </w:r>
            <w:proofErr w:type="spellStart"/>
            <w:r w:rsidRPr="002C7136">
              <w:rPr>
                <w:rFonts w:ascii="Times New Roman" w:hAnsi="Times New Roman" w:cs="Times New Roman"/>
              </w:rPr>
              <w:t>autokontur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sterowana przy pomocy przycisku na pilocie przewodowym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Segment oparcia pleców z możliwością szybkiego mechanicznego poziomowania - CPR.  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 narożnikach leża tuleje do mocowania wieszaka kroplówki oraz w części wezgłowia wysięgnika z uchwytem do ręki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4 uchwyty stabilizujące materac zlokalizowane od strony głowy oraz nóg pacjenta.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Akumulator wbudowany w układ elektryczny łóżka bateria </w:t>
            </w:r>
            <w:proofErr w:type="spellStart"/>
            <w:r w:rsidRPr="002C7136">
              <w:rPr>
                <w:rFonts w:ascii="Times New Roman" w:hAnsi="Times New Roman" w:cs="Times New Roman"/>
              </w:rPr>
              <w:t>litowo</w:t>
            </w:r>
            <w:proofErr w:type="spellEnd"/>
            <w:r w:rsidRPr="002C7136">
              <w:rPr>
                <w:rFonts w:ascii="Times New Roman" w:hAnsi="Times New Roman" w:cs="Times New Roman"/>
              </w:rPr>
              <w:t>-jonowa.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bCs/>
                <w:iCs/>
              </w:rPr>
              <w:t>Możliwości Sterowania nożnego - nachylenie boczne i regulacja wysokości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pStyle w:val="NormalnyWeb"/>
            </w:pPr>
            <w:r w:rsidRPr="002C7136">
              <w:t xml:space="preserve">Pilot przewodowy z wyświetlaczem LCD (wyświetlana informacja o wybranej funkcji) </w:t>
            </w:r>
          </w:p>
          <w:p w:rsidR="00666767" w:rsidRPr="002C7136" w:rsidRDefault="00666767" w:rsidP="001F59F3">
            <w:pPr>
              <w:pStyle w:val="NormalnyWeb"/>
            </w:pPr>
            <w:r w:rsidRPr="002C7136">
              <w:t>Możliwość tymczasowego przywrócenia wszystkich funkcji (120 s lub 180 s). w pilocie oraz w panelu sterującym od strony zewnętrznej barierek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pStyle w:val="NormalnyWeb"/>
              <w:rPr>
                <w:b/>
                <w:bCs/>
              </w:rPr>
            </w:pPr>
            <w:r w:rsidRPr="002C7136">
              <w:t>Panel w barierkach od wewnątrz dla pacjenta, umożliwiający czytelne zastosowanie funkcji tj.: Regulacja wezgłowia, pozycja fotelowa, regulacja wysokości leża, regulacja uda.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pStyle w:val="NormalnyWeb"/>
            </w:pPr>
            <w:r w:rsidRPr="002C7136">
              <w:t>Panel dla personelu medycznego po stronie zewnętrznej barierek, panel z wyświetlaczem LCD pokazującą uruchomioną funkcję.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CPR, przycisk serwisowy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pStyle w:val="NormalnyWeb"/>
            </w:pPr>
            <w:r w:rsidRPr="002C7136">
              <w:t>Informacja o kącie przechyłów wzdłużnych wyświetlana na wyświetlaczu LCD.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</w:rPr>
              <w:t>Zasilanie elektryczne 220-240V/50Hz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Obciążenie robocze min.  250 kg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Wysuwana półka na prowadnicach teleskopowych do odkładania pościeli z miejscem na panel centralny.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Łóżko wyposażone w cztery niezależne, opuszczane ruchem półkulistym, tworzywowe barierki boczne, zabezpieczające pacjenta</w:t>
            </w:r>
            <w:r w:rsidR="00BB320E">
              <w:rPr>
                <w:rFonts w:ascii="Times New Roman" w:hAnsi="Times New Roman" w:cs="Times New Roman"/>
              </w:rPr>
              <w:t xml:space="preserve">. </w:t>
            </w:r>
            <w:r w:rsidRPr="002C7136">
              <w:rPr>
                <w:rFonts w:ascii="Times New Roman" w:hAnsi="Times New Roman" w:cs="Times New Roman"/>
              </w:rPr>
              <w:t xml:space="preserve">Opuszczanie oraz podnoszenie barierek bocznych w łatwy sposób za pomocą jednej ręki, wspomagane pneumatyczne. </w:t>
            </w:r>
          </w:p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Barierki od strony głowy poruszające się wraz z segmentem oparcia pleców.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eastAsia="Calibri,Arial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Wysokość barierek bocznych zabezpieczająca pacjenta minimum 40 cm.  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eastAsia="Calibri,Arial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Barierki boczne wykonane z tworzywa, wypełnione wklejką kolorystyczną dostępną w minimum 6 kolorach.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eastAsia="Calibri,Arial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Możliwością powieszenia drenażu lub worków urologicznych na barierkach, uchwyty stanowią część barierek bocznych.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eastAsia="Calibri,Arial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Barierki zabezpieczające na całej długości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eastAsia="Calibri,Arial" w:hAnsi="Times New Roman" w:cs="Times New Roman"/>
              </w:rPr>
              <w:t>Koła podwójne o średnicy 150 mm (</w:t>
            </w:r>
            <w:r w:rsidRPr="002C7136">
              <w:rPr>
                <w:rFonts w:ascii="Times New Roman" w:eastAsia="Calibri,Arial" w:hAnsi="Times New Roman" w:cs="Times New Roman"/>
              </w:rPr>
              <w:sym w:font="Symbol" w:char="F0B1"/>
            </w:r>
            <w:r w:rsidRPr="002C7136">
              <w:rPr>
                <w:rFonts w:ascii="Times New Roman" w:eastAsia="Calibri,Arial" w:hAnsi="Times New Roman" w:cs="Times New Roman"/>
              </w:rPr>
              <w:t xml:space="preserve"> 5 mm) z systemem sterowania jazdy na wprost i z centralnym systemem hamulcowym. System obsługiwany 4 </w:t>
            </w:r>
            <w:r w:rsidRPr="002C7136">
              <w:rPr>
                <w:rFonts w:ascii="Times New Roman" w:eastAsia="Calibri,Arial" w:hAnsi="Times New Roman" w:cs="Times New Roman"/>
              </w:rPr>
              <w:lastRenderedPageBreak/>
              <w:t>dźwigniami od strony nóg oraz głowy pacjenta, zlokalizowanymi bezpośrednio przy kołach.</w:t>
            </w:r>
          </w:p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  <w:color w:val="000000"/>
              </w:rPr>
              <w:t>Sygnalizacja dźwiękowa informująca o zwolnionej blokadzie kół.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proofErr w:type="spellStart"/>
            <w:r w:rsidRPr="002C7136">
              <w:rPr>
                <w:rFonts w:ascii="Times New Roman" w:hAnsi="Times New Roman" w:cs="Times New Roman"/>
              </w:rPr>
              <w:t>Autokompensacja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- pozwala późniejsze dołożenie/ usunięcie akcesoriów łóżkowych przy zajętym łóżku, bez wpływu na wynik ważenia.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reset / położenia zerowego - do ustawienia zerowego wyświetlanej wartości wagi po tym, jak założono pożądane akcesoria łóżkowe, ale zanim pacjent będzie się znajdował w łóżku</w:t>
            </w:r>
          </w:p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Legalizacja wagi według szerokości geograficznej użytkowania łóżka </w:t>
            </w:r>
          </w:p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7136">
              <w:rPr>
                <w:rFonts w:ascii="Times New Roman" w:hAnsi="Times New Roman" w:cs="Times New Roman"/>
                <w:b/>
                <w:bCs/>
              </w:rPr>
              <w:t>Materac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rPr>
          <w:trHeight w:val="558"/>
        </w:trPr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Default="00666767" w:rsidP="002F6220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7136">
              <w:rPr>
                <w:rFonts w:ascii="Times New Roman" w:hAnsi="Times New Roman" w:cs="Times New Roman"/>
              </w:rPr>
              <w:t>Materac wraz z pompą i układem sterowania, który nie jest prototypem, pochodzi z produkcji seryjnej, nie będzie modyfikowany na potrzeby postępowania oraz jest jednorodnym wyrobem medycznym klasy I posiadającym wspólną deklarację zgodności dla oferowanej pompy i materaca – dołączyć do oferty oraz instrukcję używania wspólną dla oferowanej pompy i materaca-dołączyć do oferty. Komplet urządzeń oznaczony w sposób umożliwiający jednoznaczną identyfikację wyrobu.</w:t>
            </w:r>
          </w:p>
          <w:p w:rsidR="002F6220" w:rsidRPr="002F6220" w:rsidRDefault="002F6220" w:rsidP="002F6220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Materac przeznaczony do profilaktyki i/lub wspomagania leczenia odleżyn wszystkich stopni.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System pracy zmiennociśnieniowy co druga komora. Trzy komory w sekcji głowy pozostają statyczne.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Tryby pracy: zmiennociśnieniowy, statyczny z funkcją automatycznego przełączenia do trybu zmiennociśnieniowego po maksymalnie 30 minutach, stałego niskiego ciśnienia, maksymalnego ciśnienia (pielęgnacyjny) z funkcją automatycznego przełączenia do trybu zmiennociśnieniowego po maksymalnie 20 minutach. Każdy z trybów oznaczony osobną diodą oraz piktogramem.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Materac wyposażony w dodatkową funkcję przechyłów bocznych i rotacji pacjenta, możliwość przechyłu / rotacji jednostronnej lub obustronnej. Możliwość regulacji czasu rotacji w zakresie co najmniej 10 - 30 minut modułem nie większym niż 5 minut. 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przechyłów bocznych i rotacji pacjenta uruchamiana i wyłączana wyłącznie za pomocą zaworów wbudowanych w materac (nie w pompie, nie w przewodzie powietrznym podłączanym do pompy). Nie dopuszcza się uruchamiania tej funkcji na więcej sposobów.</w:t>
            </w:r>
          </w:p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rotacji pracująca w trybie zmiennociśnieniowym.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Materac zbudowany z 22 - 24 komór: 16 - 18 komór poprzecznych, na których leży pacjent i 6 komór podnoszących (wchodzących w skład systemu rotacji/przechyłów pacjenta). Ze względu na stabilność materaca nie dopuszcza się komór podnoszących ułożonych warstwami jedna nad drugą. Wszystkie komory materaca wykonane z elastycznego, nieusztywnionego poliuretanu zapewniającego wieloletnie użytkowanie.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System rotacji / przechyłów bocznych połączony na stałe z materacem, bez możliwości intencjonalnego ani przypadkowego rozłączenia.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Poprzeczne komory zmiennociśnieniowe materaca umieszczone w rzędach napełniają się powietrzem i opróżniają na przemian (co druga) w cyklu o regulowanym czasie 10/15/20/25/30 minut. Komory w sekcji głowy stale napełnione powietrzem.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Pompa o wymiarach nie większych niż 33 cm x 22 cm x 12 cm (± 2 cm) i wadze nie przekraczającej 3,5 kg. Klasa szczelności przed zalaniem i kurzem min. IP 21.</w:t>
            </w:r>
          </w:p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Materac o wymiarach 200 cm x 85 cm x 19 cm (± 1cm). Wysokość komór 13 cm (± 1 cm).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Komory materaca pojedynczo wymienne mocowane za pomocą złączek zapobiegających przypadkowemu wypięciu w czasie używania (nie dopuszcza się rozwiązań typu „</w:t>
            </w:r>
            <w:proofErr w:type="spellStart"/>
            <w:r w:rsidRPr="002C7136">
              <w:rPr>
                <w:rFonts w:ascii="Times New Roman" w:hAnsi="Times New Roman" w:cs="Times New Roman"/>
              </w:rPr>
              <w:t>szybkozłączki</w:t>
            </w:r>
            <w:proofErr w:type="spellEnd"/>
            <w:r w:rsidRPr="002C7136">
              <w:rPr>
                <w:rFonts w:ascii="Times New Roman" w:hAnsi="Times New Roman" w:cs="Times New Roman"/>
              </w:rPr>
              <w:t>”).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Materac z systemem </w:t>
            </w:r>
            <w:proofErr w:type="spellStart"/>
            <w:r w:rsidRPr="002C7136">
              <w:rPr>
                <w:rFonts w:ascii="Times New Roman" w:hAnsi="Times New Roman" w:cs="Times New Roman"/>
              </w:rPr>
              <w:t>owiewu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powietrzem ciała pacjenta umieszczonym pod warstwą komór zapewniającym odpowiedni mikroklimat wokół ciała pacjenta i zwiększającym komfort leżenia.  Nie dopuszcza się rozwiązań opartych na </w:t>
            </w:r>
            <w:proofErr w:type="spellStart"/>
            <w:r w:rsidRPr="002C7136">
              <w:rPr>
                <w:rFonts w:ascii="Times New Roman" w:hAnsi="Times New Roman" w:cs="Times New Roman"/>
              </w:rPr>
              <w:t>mikrootworkach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w komorach materaca, które pacjent blokuje swoim ciałem.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Materac wyposażony w funkcję rozpoznającą obciążenie wywierane na materac przez pacjenta. Możliwość ręcznej regulacji ciśnienia powietrza w materacu.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 xml:space="preserve">Materac pokryty półprzepuszczalnym pokrowcem - przepuszczającym parę wodną, a zatrzymującym ciecze, wykonanym z dzianiny rozciągliwej dwukierunkowo, niepalnym, </w:t>
            </w:r>
            <w:proofErr w:type="spellStart"/>
            <w:r w:rsidRPr="002C7136">
              <w:rPr>
                <w:rFonts w:ascii="Times New Roman" w:hAnsi="Times New Roman" w:cs="Times New Roman"/>
              </w:rPr>
              <w:t>antygrzybiczym</w:t>
            </w:r>
            <w:proofErr w:type="spellEnd"/>
            <w:r w:rsidRPr="002C7136">
              <w:rPr>
                <w:rFonts w:ascii="Times New Roman" w:hAnsi="Times New Roman" w:cs="Times New Roman"/>
              </w:rPr>
              <w:t xml:space="preserve"> i antybakteryjnym, z możliwością mycia, prania i dezynfekcji. Pokrowiec mocowany do materaca za pomocą dwóch suwaków w celu łatwego zakładania i zdejmowania.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Materac wyposażony w pompę pneumatyczną z panelem sterowania. Na panelu sterowania pompy sygnalizacja niskiego ciśnienia, braku zasilania i awarii oznaczone każda oddzielnym piktogramem i dedykowaną, osobną diodą. Pompa z gniazdem trzysekcyjnym (trzy wloty powietrza).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Pompa z jednym wyświetlaczem LED. Na wyświetlaczu informacja o ustawionym czasie cyklu pracy oraz przyczynie niewłaściwej pracy lub awarii.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Materac dwuwarstwowy (kładziony na ramę łóżka) zbudowany z górnej warstwy komór powietrznych oraz spodniej warstwy piankowej, z możliwością przekształcenia w jednowarstwowy (kładziony na spodni materac szpitalny) poprzez usunięcie warstwy pianki ze zintegrowanej kieszeni.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Możliwość szybkiego spuszczenia powietrza z materaca za pomocą zaworu CPR.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Limit wagi pacjenta nie mniej niż 200 kg.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Możliwość transportu pacjenta na materacu pozbawionym zasilania w czasie nie krótszym niż 24 godz. – tryb transportowy.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Funkcja maksymalnego wypełnienia materaca uruchamiana z jednego przycisku na pompie ułatwiająca przeprowadzenie np. czynności pielęgnacyjnych z automatycznym powrotem do poprzednich ustawień po 20 minutach.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Zasilanie 230V 50Hz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Przewód elektryczny odłączalny od pompy z zabezpieczeniem przed przypadkowym odłączeniem</w:t>
            </w:r>
          </w:p>
          <w:p w:rsidR="00666767" w:rsidRPr="002C7136" w:rsidRDefault="00666767" w:rsidP="001F59F3">
            <w:pPr>
              <w:snapToGrid w:val="0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Przewód powietrzny z podłączeniem kątowym do pompy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  <w:tr w:rsidR="00666767" w:rsidRPr="002C7136" w:rsidTr="002F6220">
        <w:tc>
          <w:tcPr>
            <w:tcW w:w="261" w:type="pct"/>
            <w:shd w:val="clear" w:color="auto" w:fill="auto"/>
            <w:vAlign w:val="center"/>
          </w:tcPr>
          <w:p w:rsidR="00666767" w:rsidRPr="002C7136" w:rsidRDefault="00666767" w:rsidP="00853E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shd w:val="clear" w:color="auto" w:fill="auto"/>
            <w:vAlign w:val="center"/>
          </w:tcPr>
          <w:p w:rsidR="00666767" w:rsidRPr="002C7136" w:rsidRDefault="00666767" w:rsidP="001F59F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Gwarancja min. 24 miesiące</w:t>
            </w:r>
          </w:p>
        </w:tc>
        <w:tc>
          <w:tcPr>
            <w:tcW w:w="434" w:type="pct"/>
            <w:shd w:val="clear" w:color="auto" w:fill="auto"/>
          </w:tcPr>
          <w:p w:rsidR="00666767" w:rsidRPr="002C7136" w:rsidRDefault="00666767" w:rsidP="001F59F3">
            <w:pPr>
              <w:jc w:val="center"/>
              <w:rPr>
                <w:rFonts w:ascii="Times New Roman" w:hAnsi="Times New Roman" w:cs="Times New Roman"/>
              </w:rPr>
            </w:pPr>
            <w:r w:rsidRPr="002C71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666767" w:rsidRPr="002C7136" w:rsidRDefault="00666767" w:rsidP="001F59F3">
            <w:pPr>
              <w:rPr>
                <w:rFonts w:ascii="Times New Roman" w:hAnsi="Times New Roman" w:cs="Times New Roman"/>
              </w:rPr>
            </w:pPr>
          </w:p>
        </w:tc>
      </w:tr>
    </w:tbl>
    <w:p w:rsidR="00853E45" w:rsidRPr="002C7136" w:rsidRDefault="00853E45" w:rsidP="00853E45">
      <w:pPr>
        <w:spacing w:after="200" w:line="276" w:lineRule="auto"/>
        <w:ind w:left="1410" w:hanging="141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2C7136">
        <w:rPr>
          <w:rFonts w:ascii="Times New Roman" w:eastAsia="Calibri" w:hAnsi="Times New Roman" w:cs="Times New Roman"/>
          <w:b/>
          <w:sz w:val="20"/>
          <w:szCs w:val="20"/>
        </w:rPr>
        <w:t xml:space="preserve">UWAGI:       </w:t>
      </w:r>
    </w:p>
    <w:p w:rsidR="00853E45" w:rsidRPr="002C7136" w:rsidRDefault="00853E45" w:rsidP="00654A89">
      <w:pPr>
        <w:numPr>
          <w:ilvl w:val="0"/>
          <w:numId w:val="49"/>
        </w:numPr>
        <w:spacing w:after="20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2C7136">
        <w:rPr>
          <w:rFonts w:ascii="Times New Roman" w:eastAsia="Calibri" w:hAnsi="Times New Roman" w:cs="Times New Roman"/>
          <w:b/>
          <w:sz w:val="20"/>
          <w:szCs w:val="20"/>
        </w:rPr>
        <w:t xml:space="preserve">Niespełnienie wymaganych parametrów i warunków spowoduje odrzucenie oferty. </w:t>
      </w:r>
    </w:p>
    <w:p w:rsidR="00853E45" w:rsidRPr="002C7136" w:rsidRDefault="00853E45" w:rsidP="00654A89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C7136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Brak odpowiedniego wpisu przez Wykonawcę w kolumnie parametr oferowany będzie traktowany jako brak danego parametru/warunku w oferowanej konfiguracji urządzenia i będzie podstawą odrzucenia oferty. </w:t>
      </w:r>
    </w:p>
    <w:p w:rsidR="00853E45" w:rsidRPr="002C7136" w:rsidRDefault="00853E45" w:rsidP="00853E45">
      <w:pPr>
        <w:rPr>
          <w:rFonts w:ascii="Times New Roman" w:hAnsi="Times New Roman" w:cs="Times New Roman"/>
          <w:b/>
          <w:sz w:val="20"/>
          <w:szCs w:val="20"/>
        </w:rPr>
      </w:pPr>
    </w:p>
    <w:p w:rsidR="00853E45" w:rsidRDefault="00853E45" w:rsidP="00654A89">
      <w:pPr>
        <w:numPr>
          <w:ilvl w:val="0"/>
          <w:numId w:val="49"/>
        </w:numPr>
        <w:spacing w:after="200" w:line="276" w:lineRule="auto"/>
        <w:ind w:right="125"/>
        <w:rPr>
          <w:rFonts w:ascii="Times New Roman" w:eastAsia="Calibri" w:hAnsi="Times New Roman" w:cs="Times New Roman"/>
          <w:b/>
          <w:sz w:val="20"/>
          <w:szCs w:val="20"/>
        </w:rPr>
      </w:pPr>
      <w:r w:rsidRPr="002C7136">
        <w:rPr>
          <w:rFonts w:ascii="Times New Roman" w:eastAsia="Calibri" w:hAnsi="Times New Roman" w:cs="Times New Roman"/>
          <w:b/>
          <w:sz w:val="20"/>
          <w:szCs w:val="20"/>
        </w:rPr>
        <w:t xml:space="preserve">Oświadczam, że oferowane urządzenie (sprzęt) spełnia wymagania techniczne zawarte w SWZ, jest kompletne i będzie gotowe do użytku bez żadnych dodatkowych zakupów i inwestycji (poza materiałami eksploatacyjnymi) oraz </w:t>
      </w:r>
      <w:r w:rsidRPr="002C7136">
        <w:rPr>
          <w:rFonts w:ascii="Times New Roman" w:eastAsia="Calibri" w:hAnsi="Times New Roman" w:cs="Times New Roman"/>
          <w:b/>
          <w:bCs/>
          <w:sz w:val="20"/>
          <w:szCs w:val="20"/>
        </w:rPr>
        <w:t>gwarantuje</w:t>
      </w:r>
      <w:r w:rsidRPr="002C7136">
        <w:rPr>
          <w:rFonts w:ascii="Times New Roman" w:eastAsia="Calibri" w:hAnsi="Times New Roman" w:cs="Times New Roman"/>
          <w:b/>
          <w:sz w:val="20"/>
          <w:szCs w:val="20"/>
        </w:rPr>
        <w:t xml:space="preserve"> bezpieczeństwo pacjentów i personelu medycznego i zapewnia wymagany poziom usług medycznych.</w:t>
      </w:r>
    </w:p>
    <w:p w:rsidR="002F6220" w:rsidRDefault="002F6220" w:rsidP="002F6220">
      <w:pPr>
        <w:pStyle w:val="Akapitzlist"/>
        <w:rPr>
          <w:rFonts w:ascii="Times New Roman" w:hAnsi="Times New Roman" w:cs="Times New Roman"/>
          <w:b/>
          <w:sz w:val="20"/>
          <w:szCs w:val="20"/>
        </w:rPr>
      </w:pPr>
    </w:p>
    <w:p w:rsidR="002F6220" w:rsidRPr="002C7136" w:rsidRDefault="002F6220" w:rsidP="002F6220">
      <w:pPr>
        <w:numPr>
          <w:ilvl w:val="0"/>
          <w:numId w:val="49"/>
        </w:numPr>
        <w:spacing w:after="20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Zamawiający zastrzega sobie możliwość żądania dostarczenia folderów lub kart katalogowych</w:t>
      </w:r>
      <w:r w:rsidRPr="002C7136">
        <w:rPr>
          <w:rFonts w:ascii="Times New Roman" w:eastAsia="Calibri" w:hAnsi="Times New Roman" w:cs="Times New Roman"/>
          <w:b/>
          <w:sz w:val="20"/>
          <w:szCs w:val="20"/>
        </w:rPr>
        <w:t xml:space="preserve"> oferowanego wyrobu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potwierdzających wymagane parametry</w:t>
      </w:r>
      <w:r w:rsidR="007B57C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bookmarkStart w:id="0" w:name="_GoBack"/>
      <w:r w:rsidR="007B57CD">
        <w:rPr>
          <w:rFonts w:ascii="Times New Roman" w:eastAsia="Calibri" w:hAnsi="Times New Roman" w:cs="Times New Roman"/>
          <w:b/>
          <w:sz w:val="20"/>
          <w:szCs w:val="20"/>
        </w:rPr>
        <w:t>na etapie realizacji umowy.</w:t>
      </w:r>
      <w:bookmarkEnd w:id="0"/>
    </w:p>
    <w:p w:rsidR="002F6220" w:rsidRPr="002C7136" w:rsidRDefault="002F6220" w:rsidP="00654A89">
      <w:pPr>
        <w:numPr>
          <w:ilvl w:val="0"/>
          <w:numId w:val="49"/>
        </w:numPr>
        <w:spacing w:after="200" w:line="276" w:lineRule="auto"/>
        <w:ind w:right="125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Wykonawca w dniu przekazania sprzętu dostarczy dokumenty</w:t>
      </w:r>
      <w:r w:rsidR="00567C64">
        <w:rPr>
          <w:rFonts w:ascii="Times New Roman" w:eastAsia="Calibri" w:hAnsi="Times New Roman" w:cs="Times New Roman"/>
          <w:b/>
          <w:sz w:val="20"/>
          <w:szCs w:val="20"/>
        </w:rPr>
        <w:t>: atesty, paszporty, instrukcję obsługi, certyfikaty, deklaracje zgodności.</w:t>
      </w:r>
    </w:p>
    <w:p w:rsidR="00853E45" w:rsidRPr="002C7136" w:rsidRDefault="00853E45" w:rsidP="00853E45">
      <w:pPr>
        <w:pStyle w:val="NormalnyWeb"/>
        <w:tabs>
          <w:tab w:val="left" w:pos="468"/>
        </w:tabs>
        <w:spacing w:before="0" w:beforeAutospacing="0" w:after="0"/>
        <w:jc w:val="both"/>
        <w:rPr>
          <w:sz w:val="20"/>
          <w:szCs w:val="20"/>
        </w:rPr>
      </w:pPr>
    </w:p>
    <w:p w:rsidR="00853E45" w:rsidRPr="002C7136" w:rsidRDefault="00853E45" w:rsidP="00853E45">
      <w:pPr>
        <w:pStyle w:val="NormalnyWeb"/>
        <w:spacing w:before="0" w:beforeAutospacing="0" w:after="0"/>
        <w:jc w:val="both"/>
        <w:rPr>
          <w:sz w:val="20"/>
          <w:szCs w:val="20"/>
        </w:rPr>
      </w:pPr>
    </w:p>
    <w:p w:rsidR="00853E45" w:rsidRPr="002C7136" w:rsidRDefault="00853E45" w:rsidP="00853E45">
      <w:pPr>
        <w:pStyle w:val="NormalnyWeb"/>
        <w:spacing w:before="0" w:beforeAutospacing="0" w:after="0"/>
        <w:jc w:val="both"/>
        <w:rPr>
          <w:sz w:val="20"/>
          <w:szCs w:val="20"/>
        </w:rPr>
      </w:pPr>
    </w:p>
    <w:p w:rsidR="00853E45" w:rsidRPr="002C7136" w:rsidRDefault="00853E45" w:rsidP="00853E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65"/>
        </w:tabs>
        <w:rPr>
          <w:rFonts w:ascii="Times New Roman" w:hAnsi="Times New Roman" w:cs="Times New Roman"/>
          <w:sz w:val="20"/>
          <w:szCs w:val="20"/>
        </w:rPr>
      </w:pPr>
      <w:r w:rsidRPr="002C7136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2C7136">
        <w:rPr>
          <w:rFonts w:ascii="Times New Roman" w:hAnsi="Times New Roman" w:cs="Times New Roman"/>
          <w:sz w:val="20"/>
          <w:szCs w:val="20"/>
        </w:rPr>
        <w:tab/>
        <w:t>……………………………</w:t>
      </w:r>
      <w:r w:rsidRPr="002C7136">
        <w:rPr>
          <w:rFonts w:ascii="Times New Roman" w:hAnsi="Times New Roman" w:cs="Times New Roman"/>
          <w:sz w:val="20"/>
          <w:szCs w:val="20"/>
        </w:rPr>
        <w:tab/>
      </w:r>
      <w:r w:rsidRPr="002C7136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</w:t>
      </w:r>
      <w:r w:rsidR="002C7136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</w:t>
      </w:r>
    </w:p>
    <w:p w:rsidR="00853E45" w:rsidRPr="002C7136" w:rsidRDefault="00853E45" w:rsidP="00853E45">
      <w:pPr>
        <w:ind w:left="708" w:right="400" w:firstLine="708"/>
        <w:rPr>
          <w:rFonts w:ascii="Times New Roman" w:hAnsi="Times New Roman" w:cs="Times New Roman"/>
          <w:sz w:val="20"/>
          <w:szCs w:val="20"/>
        </w:rPr>
      </w:pPr>
      <w:r w:rsidRPr="002C7136">
        <w:rPr>
          <w:rFonts w:ascii="Times New Roman" w:hAnsi="Times New Roman" w:cs="Times New Roman"/>
          <w:sz w:val="20"/>
          <w:szCs w:val="20"/>
        </w:rPr>
        <w:t xml:space="preserve">miejscowość i data </w:t>
      </w:r>
      <w:r w:rsidRPr="002C7136">
        <w:rPr>
          <w:rFonts w:ascii="Times New Roman" w:hAnsi="Times New Roman" w:cs="Times New Roman"/>
          <w:sz w:val="20"/>
          <w:szCs w:val="20"/>
        </w:rPr>
        <w:tab/>
      </w:r>
      <w:r w:rsidRPr="002C7136">
        <w:rPr>
          <w:rFonts w:ascii="Times New Roman" w:hAnsi="Times New Roman" w:cs="Times New Roman"/>
          <w:sz w:val="20"/>
          <w:szCs w:val="20"/>
        </w:rPr>
        <w:tab/>
      </w:r>
      <w:r w:rsidRPr="002C7136">
        <w:rPr>
          <w:rFonts w:ascii="Times New Roman" w:hAnsi="Times New Roman" w:cs="Times New Roman"/>
          <w:sz w:val="20"/>
          <w:szCs w:val="20"/>
        </w:rPr>
        <w:tab/>
      </w:r>
      <w:r w:rsidRPr="002C7136">
        <w:rPr>
          <w:rFonts w:ascii="Times New Roman" w:hAnsi="Times New Roman" w:cs="Times New Roman"/>
          <w:sz w:val="20"/>
          <w:szCs w:val="20"/>
        </w:rPr>
        <w:tab/>
      </w:r>
      <w:r w:rsidRPr="002C7136">
        <w:rPr>
          <w:rFonts w:ascii="Times New Roman" w:hAnsi="Times New Roman" w:cs="Times New Roman"/>
          <w:sz w:val="20"/>
          <w:szCs w:val="20"/>
        </w:rPr>
        <w:tab/>
      </w:r>
      <w:r w:rsidRPr="002C7136">
        <w:rPr>
          <w:rFonts w:ascii="Times New Roman" w:hAnsi="Times New Roman" w:cs="Times New Roman"/>
          <w:sz w:val="20"/>
          <w:szCs w:val="20"/>
        </w:rPr>
        <w:tab/>
        <w:t>podpis i pieczęć osoby uprawnionej do reprezentowania Wykonawcy</w:t>
      </w:r>
    </w:p>
    <w:p w:rsidR="00853E45" w:rsidRPr="002C7136" w:rsidRDefault="00853E45" w:rsidP="00853E45">
      <w:pPr>
        <w:jc w:val="both"/>
        <w:rPr>
          <w:rFonts w:ascii="Times New Roman" w:hAnsi="Times New Roman" w:cs="Times New Roman"/>
        </w:rPr>
      </w:pPr>
    </w:p>
    <w:p w:rsidR="00853E45" w:rsidRPr="002C7136" w:rsidRDefault="00853E45" w:rsidP="00853E45">
      <w:pPr>
        <w:jc w:val="both"/>
        <w:rPr>
          <w:rFonts w:ascii="Times New Roman" w:hAnsi="Times New Roman" w:cs="Times New Roman"/>
        </w:rPr>
      </w:pPr>
    </w:p>
    <w:p w:rsidR="00853E45" w:rsidRPr="002C7136" w:rsidRDefault="00853E45" w:rsidP="00853E45">
      <w:pPr>
        <w:rPr>
          <w:rFonts w:ascii="Times New Roman" w:hAnsi="Times New Roman" w:cs="Times New Roman"/>
        </w:rPr>
      </w:pPr>
    </w:p>
    <w:p w:rsidR="0006066A" w:rsidRPr="002C7136" w:rsidRDefault="0006066A">
      <w:pPr>
        <w:rPr>
          <w:rFonts w:ascii="Times New Roman" w:hAnsi="Times New Roman" w:cs="Times New Roman"/>
        </w:rPr>
      </w:pPr>
    </w:p>
    <w:sectPr w:rsidR="0006066A" w:rsidRPr="002C7136" w:rsidSect="00E06B3A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FDB" w:rsidRDefault="006C0FDB" w:rsidP="00B50B10">
      <w:pPr>
        <w:spacing w:after="0" w:line="240" w:lineRule="auto"/>
      </w:pPr>
      <w:r>
        <w:separator/>
      </w:r>
    </w:p>
  </w:endnote>
  <w:endnote w:type="continuationSeparator" w:id="0">
    <w:p w:rsidR="006C0FDB" w:rsidRDefault="006C0FDB" w:rsidP="00B50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4655653"/>
      <w:docPartObj>
        <w:docPartGallery w:val="Page Numbers (Bottom of Page)"/>
        <w:docPartUnique/>
      </w:docPartObj>
    </w:sdtPr>
    <w:sdtEndPr/>
    <w:sdtContent>
      <w:p w:rsidR="002F6220" w:rsidRDefault="002F62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7CD">
          <w:rPr>
            <w:noProof/>
          </w:rPr>
          <w:t>30</w:t>
        </w:r>
        <w:r>
          <w:fldChar w:fldCharType="end"/>
        </w:r>
      </w:p>
    </w:sdtContent>
  </w:sdt>
  <w:p w:rsidR="002F6220" w:rsidRDefault="002F62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FDB" w:rsidRDefault="006C0FDB" w:rsidP="00B50B10">
      <w:pPr>
        <w:spacing w:after="0" w:line="240" w:lineRule="auto"/>
      </w:pPr>
      <w:r>
        <w:separator/>
      </w:r>
    </w:p>
  </w:footnote>
  <w:footnote w:type="continuationSeparator" w:id="0">
    <w:p w:rsidR="006C0FDB" w:rsidRDefault="006C0FDB" w:rsidP="00B50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90BED"/>
    <w:multiLevelType w:val="hybridMultilevel"/>
    <w:tmpl w:val="88B61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127DA"/>
    <w:multiLevelType w:val="hybridMultilevel"/>
    <w:tmpl w:val="01FC9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1814"/>
    <w:multiLevelType w:val="multilevel"/>
    <w:tmpl w:val="F6B65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8F2429"/>
    <w:multiLevelType w:val="hybridMultilevel"/>
    <w:tmpl w:val="FA764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35589"/>
    <w:multiLevelType w:val="hybridMultilevel"/>
    <w:tmpl w:val="AD345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04D1C"/>
    <w:multiLevelType w:val="hybridMultilevel"/>
    <w:tmpl w:val="C3E83C3E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4067C"/>
    <w:multiLevelType w:val="hybridMultilevel"/>
    <w:tmpl w:val="DC7C3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E16FB"/>
    <w:multiLevelType w:val="hybridMultilevel"/>
    <w:tmpl w:val="55201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80366"/>
    <w:multiLevelType w:val="hybridMultilevel"/>
    <w:tmpl w:val="0630C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61AD3"/>
    <w:multiLevelType w:val="hybridMultilevel"/>
    <w:tmpl w:val="AA38B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02071"/>
    <w:multiLevelType w:val="hybridMultilevel"/>
    <w:tmpl w:val="A1BA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91D"/>
    <w:multiLevelType w:val="hybridMultilevel"/>
    <w:tmpl w:val="7EE8F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A5A3F"/>
    <w:multiLevelType w:val="hybridMultilevel"/>
    <w:tmpl w:val="DDDAA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D1A08"/>
    <w:multiLevelType w:val="hybridMultilevel"/>
    <w:tmpl w:val="D8F0E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F55F0"/>
    <w:multiLevelType w:val="hybridMultilevel"/>
    <w:tmpl w:val="1FF6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4F5079"/>
    <w:multiLevelType w:val="hybridMultilevel"/>
    <w:tmpl w:val="0FD0E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078BF"/>
    <w:multiLevelType w:val="hybridMultilevel"/>
    <w:tmpl w:val="12E4F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B6C63"/>
    <w:multiLevelType w:val="hybridMultilevel"/>
    <w:tmpl w:val="9D925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55880"/>
    <w:multiLevelType w:val="hybridMultilevel"/>
    <w:tmpl w:val="C9B84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34780"/>
    <w:multiLevelType w:val="hybridMultilevel"/>
    <w:tmpl w:val="8642F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029FD"/>
    <w:multiLevelType w:val="hybridMultilevel"/>
    <w:tmpl w:val="2F8444EE"/>
    <w:lvl w:ilvl="0" w:tplc="CB8EB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426BC"/>
    <w:multiLevelType w:val="hybridMultilevel"/>
    <w:tmpl w:val="5D40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8702B"/>
    <w:multiLevelType w:val="hybridMultilevel"/>
    <w:tmpl w:val="C5281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C050C"/>
    <w:multiLevelType w:val="hybridMultilevel"/>
    <w:tmpl w:val="B6B6D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D0E1E"/>
    <w:multiLevelType w:val="hybridMultilevel"/>
    <w:tmpl w:val="AE5EF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F0A5D"/>
    <w:multiLevelType w:val="hybridMultilevel"/>
    <w:tmpl w:val="9C864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11B0C"/>
    <w:multiLevelType w:val="hybridMultilevel"/>
    <w:tmpl w:val="91EC7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86532"/>
    <w:multiLevelType w:val="hybridMultilevel"/>
    <w:tmpl w:val="07942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95B91"/>
    <w:multiLevelType w:val="hybridMultilevel"/>
    <w:tmpl w:val="FEEC29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7367E"/>
    <w:multiLevelType w:val="hybridMultilevel"/>
    <w:tmpl w:val="86B699C8"/>
    <w:lvl w:ilvl="0" w:tplc="C2780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00E5C"/>
    <w:multiLevelType w:val="hybridMultilevel"/>
    <w:tmpl w:val="28E64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07BC1"/>
    <w:multiLevelType w:val="hybridMultilevel"/>
    <w:tmpl w:val="C44E6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3C7CE6"/>
    <w:multiLevelType w:val="hybridMultilevel"/>
    <w:tmpl w:val="AC142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C4D43"/>
    <w:multiLevelType w:val="hybridMultilevel"/>
    <w:tmpl w:val="832A7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6654DA"/>
    <w:multiLevelType w:val="hybridMultilevel"/>
    <w:tmpl w:val="FD344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88579A"/>
    <w:multiLevelType w:val="hybridMultilevel"/>
    <w:tmpl w:val="D3BC7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854FC"/>
    <w:multiLevelType w:val="hybridMultilevel"/>
    <w:tmpl w:val="1A6E3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993379"/>
    <w:multiLevelType w:val="hybridMultilevel"/>
    <w:tmpl w:val="BCC0B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7F0583"/>
    <w:multiLevelType w:val="hybridMultilevel"/>
    <w:tmpl w:val="95624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52698"/>
    <w:multiLevelType w:val="hybridMultilevel"/>
    <w:tmpl w:val="99FE3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05084"/>
    <w:multiLevelType w:val="hybridMultilevel"/>
    <w:tmpl w:val="2C8A1F0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EA1041"/>
    <w:multiLevelType w:val="hybridMultilevel"/>
    <w:tmpl w:val="7520E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3D7214"/>
    <w:multiLevelType w:val="hybridMultilevel"/>
    <w:tmpl w:val="AEA6BCC2"/>
    <w:lvl w:ilvl="0" w:tplc="0415000F">
      <w:start w:val="6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719C9"/>
    <w:multiLevelType w:val="hybridMultilevel"/>
    <w:tmpl w:val="BC188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03F90"/>
    <w:multiLevelType w:val="hybridMultilevel"/>
    <w:tmpl w:val="7B864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92231B"/>
    <w:multiLevelType w:val="hybridMultilevel"/>
    <w:tmpl w:val="07A22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BF0A57"/>
    <w:multiLevelType w:val="hybridMultilevel"/>
    <w:tmpl w:val="A7087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"/>
  </w:num>
  <w:num w:numId="3">
    <w:abstractNumId w:val="47"/>
  </w:num>
  <w:num w:numId="4">
    <w:abstractNumId w:val="22"/>
  </w:num>
  <w:num w:numId="5">
    <w:abstractNumId w:val="0"/>
  </w:num>
  <w:num w:numId="6">
    <w:abstractNumId w:val="2"/>
  </w:num>
  <w:num w:numId="7">
    <w:abstractNumId w:val="16"/>
  </w:num>
  <w:num w:numId="8">
    <w:abstractNumId w:val="20"/>
  </w:num>
  <w:num w:numId="9">
    <w:abstractNumId w:val="6"/>
  </w:num>
  <w:num w:numId="10">
    <w:abstractNumId w:val="43"/>
  </w:num>
  <w:num w:numId="11">
    <w:abstractNumId w:val="46"/>
  </w:num>
  <w:num w:numId="12">
    <w:abstractNumId w:val="48"/>
  </w:num>
  <w:num w:numId="13">
    <w:abstractNumId w:val="23"/>
  </w:num>
  <w:num w:numId="14">
    <w:abstractNumId w:val="39"/>
  </w:num>
  <w:num w:numId="15">
    <w:abstractNumId w:val="27"/>
  </w:num>
  <w:num w:numId="16">
    <w:abstractNumId w:val="18"/>
  </w:num>
  <w:num w:numId="17">
    <w:abstractNumId w:val="5"/>
  </w:num>
  <w:num w:numId="18">
    <w:abstractNumId w:val="42"/>
  </w:num>
  <w:num w:numId="19">
    <w:abstractNumId w:val="34"/>
  </w:num>
  <w:num w:numId="20">
    <w:abstractNumId w:val="35"/>
  </w:num>
  <w:num w:numId="21">
    <w:abstractNumId w:val="3"/>
  </w:num>
  <w:num w:numId="22">
    <w:abstractNumId w:val="31"/>
  </w:num>
  <w:num w:numId="23">
    <w:abstractNumId w:val="45"/>
  </w:num>
  <w:num w:numId="24">
    <w:abstractNumId w:val="15"/>
  </w:num>
  <w:num w:numId="25">
    <w:abstractNumId w:val="41"/>
  </w:num>
  <w:num w:numId="26">
    <w:abstractNumId w:val="1"/>
  </w:num>
  <w:num w:numId="27">
    <w:abstractNumId w:val="9"/>
  </w:num>
  <w:num w:numId="28">
    <w:abstractNumId w:val="11"/>
  </w:num>
  <w:num w:numId="29">
    <w:abstractNumId w:val="8"/>
  </w:num>
  <w:num w:numId="30">
    <w:abstractNumId w:val="38"/>
  </w:num>
  <w:num w:numId="31">
    <w:abstractNumId w:val="28"/>
  </w:num>
  <w:num w:numId="32">
    <w:abstractNumId w:val="33"/>
  </w:num>
  <w:num w:numId="33">
    <w:abstractNumId w:val="19"/>
  </w:num>
  <w:num w:numId="34">
    <w:abstractNumId w:val="14"/>
  </w:num>
  <w:num w:numId="35">
    <w:abstractNumId w:val="17"/>
  </w:num>
  <w:num w:numId="36">
    <w:abstractNumId w:val="10"/>
  </w:num>
  <w:num w:numId="37">
    <w:abstractNumId w:val="36"/>
  </w:num>
  <w:num w:numId="38">
    <w:abstractNumId w:val="13"/>
  </w:num>
  <w:num w:numId="39">
    <w:abstractNumId w:val="44"/>
  </w:num>
  <w:num w:numId="40">
    <w:abstractNumId w:val="7"/>
  </w:num>
  <w:num w:numId="41">
    <w:abstractNumId w:val="21"/>
  </w:num>
  <w:num w:numId="42">
    <w:abstractNumId w:val="12"/>
  </w:num>
  <w:num w:numId="43">
    <w:abstractNumId w:val="24"/>
  </w:num>
  <w:num w:numId="44">
    <w:abstractNumId w:val="25"/>
  </w:num>
  <w:num w:numId="45">
    <w:abstractNumId w:val="29"/>
  </w:num>
  <w:num w:numId="46">
    <w:abstractNumId w:val="37"/>
  </w:num>
  <w:num w:numId="47">
    <w:abstractNumId w:val="26"/>
  </w:num>
  <w:num w:numId="48">
    <w:abstractNumId w:val="3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498"/>
    <w:rsid w:val="0006066A"/>
    <w:rsid w:val="000A4F85"/>
    <w:rsid w:val="00167165"/>
    <w:rsid w:val="001909AB"/>
    <w:rsid w:val="001C6040"/>
    <w:rsid w:val="001F59F3"/>
    <w:rsid w:val="002C7136"/>
    <w:rsid w:val="002F6220"/>
    <w:rsid w:val="00361B25"/>
    <w:rsid w:val="0039342E"/>
    <w:rsid w:val="003E272E"/>
    <w:rsid w:val="004D0AFF"/>
    <w:rsid w:val="00532B5D"/>
    <w:rsid w:val="00567C64"/>
    <w:rsid w:val="00654A89"/>
    <w:rsid w:val="00666767"/>
    <w:rsid w:val="006C0FDB"/>
    <w:rsid w:val="007321FE"/>
    <w:rsid w:val="007B57CD"/>
    <w:rsid w:val="00853E45"/>
    <w:rsid w:val="008701D5"/>
    <w:rsid w:val="008A431C"/>
    <w:rsid w:val="008E5CBB"/>
    <w:rsid w:val="00A27E72"/>
    <w:rsid w:val="00A351E4"/>
    <w:rsid w:val="00A70426"/>
    <w:rsid w:val="00B50B10"/>
    <w:rsid w:val="00B76498"/>
    <w:rsid w:val="00BB320E"/>
    <w:rsid w:val="00CA7982"/>
    <w:rsid w:val="00D66367"/>
    <w:rsid w:val="00E06B3A"/>
    <w:rsid w:val="00E3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BA1FC-BCFF-4137-85C3-1EAE981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6B3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6B3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6B3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6B3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B3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6B3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CN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6B3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6B3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6B3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0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0B10"/>
  </w:style>
  <w:style w:type="paragraph" w:styleId="Stopka">
    <w:name w:val="footer"/>
    <w:basedOn w:val="Normalny"/>
    <w:link w:val="StopkaZnak"/>
    <w:uiPriority w:val="99"/>
    <w:unhideWhenUsed/>
    <w:rsid w:val="00B50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B10"/>
  </w:style>
  <w:style w:type="table" w:styleId="Tabela-Siatka">
    <w:name w:val="Table Grid"/>
    <w:basedOn w:val="Standardowy"/>
    <w:uiPriority w:val="39"/>
    <w:rsid w:val="00B50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6B3A"/>
    <w:pPr>
      <w:spacing w:after="38" w:line="268" w:lineRule="auto"/>
      <w:ind w:left="720" w:hanging="10"/>
      <w:contextualSpacing/>
      <w:jc w:val="both"/>
    </w:pPr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E06B3A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6B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6B3A"/>
    <w:rPr>
      <w:rFonts w:eastAsiaTheme="majorEastAsia" w:cstheme="majorBidi"/>
      <w:color w:val="2E74B5" w:themeColor="accent1" w:themeShade="BF"/>
      <w:sz w:val="28"/>
      <w:szCs w:val="28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6B3A"/>
    <w:rPr>
      <w:rFonts w:eastAsiaTheme="majorEastAsia" w:cstheme="majorBidi"/>
      <w:i/>
      <w:iCs/>
      <w:color w:val="2E74B5" w:themeColor="accent1" w:themeShade="BF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B3A"/>
    <w:rPr>
      <w:rFonts w:eastAsiaTheme="majorEastAsia" w:cstheme="majorBidi"/>
      <w:color w:val="2E74B5" w:themeColor="accent1" w:themeShade="BF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6B3A"/>
    <w:rPr>
      <w:rFonts w:eastAsiaTheme="majorEastAsia" w:cstheme="majorBidi"/>
      <w:i/>
      <w:iCs/>
      <w:color w:val="595959" w:themeColor="text1" w:themeTint="A6"/>
      <w:sz w:val="24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6B3A"/>
    <w:rPr>
      <w:rFonts w:eastAsiaTheme="majorEastAsia" w:cstheme="majorBidi"/>
      <w:color w:val="595959" w:themeColor="text1" w:themeTint="A6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6B3A"/>
    <w:rPr>
      <w:rFonts w:eastAsiaTheme="majorEastAsia" w:cstheme="majorBidi"/>
      <w:i/>
      <w:iCs/>
      <w:color w:val="272727" w:themeColor="text1" w:themeTint="D8"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6B3A"/>
    <w:rPr>
      <w:rFonts w:eastAsiaTheme="majorEastAsia" w:cstheme="majorBidi"/>
      <w:color w:val="272727" w:themeColor="text1" w:themeTint="D8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E06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rsid w:val="00E06B3A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6B3A"/>
    <w:pPr>
      <w:numPr>
        <w:ilvl w:val="1"/>
      </w:numPr>
      <w:spacing w:after="0"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uiPriority w:val="11"/>
    <w:rsid w:val="00E06B3A"/>
    <w:rPr>
      <w:rFonts w:eastAsiaTheme="majorEastAsia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E06B3A"/>
    <w:pPr>
      <w:spacing w:before="160" w:after="0" w:line="240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CN"/>
    </w:rPr>
  </w:style>
  <w:style w:type="character" w:customStyle="1" w:styleId="CytatZnak">
    <w:name w:val="Cytat Znak"/>
    <w:basedOn w:val="Domylnaczcionkaakapitu"/>
    <w:link w:val="Cytat"/>
    <w:uiPriority w:val="29"/>
    <w:rsid w:val="00E06B3A"/>
    <w:rPr>
      <w:rFonts w:eastAsiaTheme="minorEastAsia"/>
      <w:i/>
      <w:iCs/>
      <w:color w:val="404040" w:themeColor="text1" w:themeTint="BF"/>
      <w:sz w:val="24"/>
      <w:szCs w:val="24"/>
      <w:lang w:eastAsia="zh-CN"/>
    </w:rPr>
  </w:style>
  <w:style w:type="character" w:styleId="Wyrnienieintensywne">
    <w:name w:val="Intense Emphasis"/>
    <w:basedOn w:val="Domylnaczcionkaakapitu"/>
    <w:uiPriority w:val="21"/>
    <w:qFormat/>
    <w:rsid w:val="00E06B3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6B3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eastAsiaTheme="minorEastAsia"/>
      <w:i/>
      <w:iCs/>
      <w:color w:val="2E74B5" w:themeColor="accent1" w:themeShade="BF"/>
      <w:sz w:val="24"/>
      <w:szCs w:val="24"/>
      <w:lang w:eastAsia="zh-C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6B3A"/>
    <w:rPr>
      <w:rFonts w:eastAsiaTheme="minorEastAsia"/>
      <w:i/>
      <w:iCs/>
      <w:color w:val="2E74B5" w:themeColor="accent1" w:themeShade="BF"/>
      <w:sz w:val="24"/>
      <w:szCs w:val="24"/>
      <w:lang w:eastAsia="zh-CN"/>
    </w:rPr>
  </w:style>
  <w:style w:type="character" w:styleId="Odwoanieintensywne">
    <w:name w:val="Intense Reference"/>
    <w:basedOn w:val="Domylnaczcionkaakapitu"/>
    <w:uiPriority w:val="32"/>
    <w:qFormat/>
    <w:rsid w:val="00E06B3A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rsid w:val="00E06B3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q4iawc">
    <w:name w:val="q4iawc"/>
    <w:basedOn w:val="Domylnaczcionkaakapitu"/>
    <w:rsid w:val="00E06B3A"/>
  </w:style>
  <w:style w:type="paragraph" w:customStyle="1" w:styleId="Style10">
    <w:name w:val="Style10"/>
    <w:basedOn w:val="Normalny"/>
    <w:rsid w:val="00E06B3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e">
    <w:name w:val="style"/>
    <w:basedOn w:val="Normalny"/>
    <w:rsid w:val="00E06B3A"/>
    <w:pPr>
      <w:spacing w:before="150" w:after="150" w:line="240" w:lineRule="auto"/>
      <w:ind w:left="150" w:right="450"/>
      <w:jc w:val="both"/>
    </w:pPr>
    <w:rPr>
      <w:rFonts w:ascii="Verdana" w:eastAsia="Times New Roman" w:hAnsi="Verdana" w:cs="Times New Roman"/>
      <w:color w:val="666666"/>
      <w:sz w:val="18"/>
      <w:szCs w:val="18"/>
      <w:lang w:eastAsia="pl-PL"/>
    </w:rPr>
  </w:style>
  <w:style w:type="paragraph" w:customStyle="1" w:styleId="Default">
    <w:name w:val="Default"/>
    <w:rsid w:val="00E06B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E06B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Domynie">
    <w:name w:val="Domy徑nie"/>
    <w:rsid w:val="00E06B3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character" w:customStyle="1" w:styleId="normaltextrun">
    <w:name w:val="normaltextrun"/>
    <w:basedOn w:val="Domylnaczcionkaakapitu"/>
    <w:rsid w:val="00853E45"/>
  </w:style>
  <w:style w:type="character" w:customStyle="1" w:styleId="eop">
    <w:name w:val="eop"/>
    <w:basedOn w:val="Domylnaczcionkaakapitu"/>
    <w:rsid w:val="00853E45"/>
  </w:style>
  <w:style w:type="paragraph" w:styleId="Tekstdymka">
    <w:name w:val="Balloon Text"/>
    <w:basedOn w:val="Normalny"/>
    <w:link w:val="TekstdymkaZnak"/>
    <w:uiPriority w:val="99"/>
    <w:semiHidden/>
    <w:unhideWhenUsed/>
    <w:rsid w:val="00361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5498</Words>
  <Characters>32991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22</cp:revision>
  <cp:lastPrinted>2025-03-25T06:36:00Z</cp:lastPrinted>
  <dcterms:created xsi:type="dcterms:W3CDTF">2025-03-17T08:08:00Z</dcterms:created>
  <dcterms:modified xsi:type="dcterms:W3CDTF">2025-03-26T12:39:00Z</dcterms:modified>
</cp:coreProperties>
</file>